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87417">
      <w:pPr>
        <w:tabs>
          <w:tab w:val="left" w:pos="464"/>
        </w:tabs>
        <w:spacing w:line="360" w:lineRule="auto"/>
        <w:rPr>
          <w:b/>
          <w:sz w:val="24"/>
        </w:rPr>
      </w:pPr>
      <w:r>
        <w:rPr>
          <w:b/>
          <w:sz w:val="24"/>
        </w:rPr>
        <w:t>证券代码：600096                                      证券简称：云天化</w:t>
      </w:r>
    </w:p>
    <w:p w14:paraId="6D8A578A">
      <w:pPr>
        <w:spacing w:before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云南云天化股份有限公司</w:t>
      </w:r>
    </w:p>
    <w:p w14:paraId="6F4D4A62">
      <w:pPr>
        <w:spacing w:after="240" w:line="520" w:lineRule="exact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投资者关系活动记录表</w:t>
      </w:r>
    </w:p>
    <w:p w14:paraId="032B782F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编号：</w:t>
      </w:r>
      <w:r>
        <w:rPr>
          <w:sz w:val="24"/>
        </w:rPr>
        <w:t>202</w:t>
      </w:r>
      <w:r>
        <w:rPr>
          <w:rFonts w:hint="eastAsia"/>
          <w:sz w:val="24"/>
        </w:rPr>
        <w:t>5</w:t>
      </w:r>
      <w:r>
        <w:rPr>
          <w:sz w:val="24"/>
        </w:rPr>
        <w:t>-00</w:t>
      </w:r>
      <w:r>
        <w:rPr>
          <w:rFonts w:hint="eastAsia"/>
          <w:sz w:val="24"/>
        </w:rPr>
        <w:t>3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8" w:type="dxa"/>
        </w:tblCellMar>
      </w:tblPr>
      <w:tblGrid>
        <w:gridCol w:w="1555"/>
        <w:gridCol w:w="6741"/>
      </w:tblGrid>
      <w:tr w14:paraId="70ED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511" w:hRule="atLeast"/>
        </w:trPr>
        <w:tc>
          <w:tcPr>
            <w:tcW w:w="1555" w:type="dxa"/>
            <w:vAlign w:val="center"/>
          </w:tcPr>
          <w:p w14:paraId="35AE4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</w:t>
            </w:r>
          </w:p>
          <w:p w14:paraId="7A528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活动类别</w:t>
            </w:r>
          </w:p>
        </w:tc>
        <w:tc>
          <w:tcPr>
            <w:tcW w:w="6741" w:type="dxa"/>
            <w:vAlign w:val="center"/>
          </w:tcPr>
          <w:p w14:paraId="4B0D60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特定对象调研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□分析师会议</w:t>
            </w:r>
          </w:p>
          <w:p w14:paraId="5B2F4A5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□媒体采访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□业绩说明会</w:t>
            </w:r>
          </w:p>
          <w:p w14:paraId="40436A4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□新闻发布会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□路演活动</w:t>
            </w:r>
          </w:p>
          <w:p w14:paraId="308E8F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现场参观            </w:t>
            </w:r>
          </w:p>
          <w:p w14:paraId="2120587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□其他-线上电话会</w:t>
            </w:r>
          </w:p>
        </w:tc>
      </w:tr>
      <w:tr w14:paraId="5178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c>
          <w:tcPr>
            <w:tcW w:w="1555" w:type="dxa"/>
            <w:vAlign w:val="center"/>
          </w:tcPr>
          <w:p w14:paraId="70B986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参与单位名称及人员姓名</w:t>
            </w:r>
          </w:p>
        </w:tc>
        <w:tc>
          <w:tcPr>
            <w:tcW w:w="6741" w:type="dxa"/>
            <w:vAlign w:val="center"/>
          </w:tcPr>
          <w:p w14:paraId="187166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国联民生证券、国投证券、招银理财、宝盈基金、湖汉湛赢投资、南通春满园、广州顺从投资、广东邦政资管、深圳诺泉投资、宁波知远投资、GOLD ELEPH、深圳德泉资本、深圳太空融投资、金石资本投资、西安金本科技、江西知风咨询、晋江泉智基金、溁德资本、湖南汇智融达基金、广东臻远基金、珠海横琴天勤资管、深圳蓝马资管等</w:t>
            </w:r>
            <w:r>
              <w:rPr>
                <w:sz w:val="24"/>
              </w:rPr>
              <w:t>22家</w:t>
            </w:r>
            <w:r>
              <w:rPr>
                <w:rFonts w:hint="eastAsia"/>
                <w:sz w:val="24"/>
              </w:rPr>
              <w:t>投资机构和投研机构</w:t>
            </w:r>
          </w:p>
        </w:tc>
      </w:tr>
      <w:tr w14:paraId="587E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530" w:hRule="atLeast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14:paraId="0B7831F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14:paraId="1D22BB76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5年12月11日-12日</w:t>
            </w:r>
          </w:p>
        </w:tc>
      </w:tr>
      <w:tr w14:paraId="0BE9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14:paraId="02DDB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14:paraId="0F1AA2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公司总部</w:t>
            </w:r>
          </w:p>
        </w:tc>
      </w:tr>
      <w:tr w14:paraId="3105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14:paraId="0EDA0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上市公司</w:t>
            </w:r>
          </w:p>
          <w:p w14:paraId="5D357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接待人员姓名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14:paraId="67C94FC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公司副总经理、董事会秘书苏云，证券事务代表徐刚军，相关部门人员。</w:t>
            </w:r>
          </w:p>
        </w:tc>
      </w:tr>
      <w:tr w14:paraId="023C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14:paraId="4078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投资者关系活动主要内容介绍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14:paraId="6C2D535D">
            <w:pPr>
              <w:numPr>
                <w:ilvl w:val="0"/>
                <w:numId w:val="1"/>
              </w:numPr>
              <w:spacing w:before="156" w:beforeLines="50" w:after="156" w:afterLines="50"/>
              <w:ind w:firstLine="482" w:firstLineChars="200"/>
              <w:rPr>
                <w:rFonts w:eastAsiaTheme="minorEastAsia"/>
                <w:b/>
                <w:bCs/>
                <w:sz w:val="24"/>
              </w:rPr>
            </w:pPr>
            <w:bookmarkStart w:id="0" w:name="_Hlk103156923"/>
            <w:r>
              <w:rPr>
                <w:rFonts w:hint="eastAsia" w:eastAsiaTheme="minorEastAsia"/>
                <w:b/>
                <w:bCs/>
                <w:sz w:val="24"/>
              </w:rPr>
              <w:t>公司副总经理、董事会秘书苏云先生介绍公司整体情况。</w:t>
            </w:r>
          </w:p>
          <w:p w14:paraId="21E3FD5D">
            <w:pPr>
              <w:pStyle w:val="13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就投资者关切的问题进行交流互动：</w:t>
            </w:r>
          </w:p>
          <w:p w14:paraId="427BA5E3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问题1：</w:t>
            </w:r>
            <w:r>
              <w:rPr>
                <w:rFonts w:hint="eastAsia"/>
                <w:b/>
                <w:kern w:val="0"/>
                <w:sz w:val="24"/>
              </w:rPr>
              <w:t>磷矿近几年在高位运行，</w:t>
            </w:r>
            <w:r>
              <w:rPr>
                <w:b/>
                <w:kern w:val="0"/>
                <w:sz w:val="24"/>
              </w:rPr>
              <w:t>公司</w:t>
            </w:r>
            <w:r>
              <w:rPr>
                <w:rFonts w:hint="eastAsia"/>
                <w:b/>
                <w:kern w:val="0"/>
                <w:sz w:val="24"/>
              </w:rPr>
              <w:t>如何看待</w:t>
            </w:r>
            <w:r>
              <w:rPr>
                <w:b/>
                <w:kern w:val="0"/>
                <w:sz w:val="24"/>
              </w:rPr>
              <w:t>未来</w:t>
            </w:r>
            <w:r>
              <w:rPr>
                <w:rFonts w:hint="eastAsia"/>
                <w:b/>
                <w:kern w:val="0"/>
                <w:sz w:val="24"/>
              </w:rPr>
              <w:t>行业供需变化，是否可持续</w:t>
            </w:r>
            <w:r>
              <w:rPr>
                <w:b/>
                <w:kern w:val="0"/>
                <w:sz w:val="24"/>
              </w:rPr>
              <w:t>？</w:t>
            </w:r>
          </w:p>
          <w:p w14:paraId="6FD1EC04">
            <w:pPr>
              <w:widowControl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bCs/>
                <w:sz w:val="24"/>
              </w:rPr>
              <w:t>近年来，随着国内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磷化工尤其是</w:t>
            </w:r>
            <w:r>
              <w:rPr>
                <w:rFonts w:hint="eastAsia" w:eastAsiaTheme="minorEastAsia"/>
                <w:bCs/>
                <w:sz w:val="24"/>
              </w:rPr>
              <w:t>新能源产业发展对磷资源形成了一定需求增量</w:t>
            </w:r>
            <w:r>
              <w:rPr>
                <w:rFonts w:hint="eastAsia" w:eastAsiaTheme="minorEastAsia"/>
                <w:bCs/>
                <w:sz w:val="24"/>
                <w:lang w:eastAsia="zh-CN"/>
              </w:rPr>
              <w:t>，</w:t>
            </w:r>
            <w:r>
              <w:rPr>
                <w:rFonts w:hint="eastAsia" w:eastAsiaTheme="minorEastAsia"/>
                <w:bCs/>
                <w:sz w:val="24"/>
              </w:rPr>
              <w:t>同时，三磷综合治理、长江流域生态保护等环保政策持续趋严</w:t>
            </w:r>
            <w:r>
              <w:rPr>
                <w:rFonts w:hint="eastAsia" w:eastAsiaTheme="minorEastAsia"/>
                <w:bCs/>
                <w:sz w:val="24"/>
                <w:lang w:eastAsia="zh-CN"/>
              </w:rPr>
              <w:t>，</w:t>
            </w:r>
            <w:r>
              <w:rPr>
                <w:rFonts w:hint="eastAsia" w:eastAsiaTheme="minorEastAsia"/>
                <w:bCs/>
                <w:sz w:val="24"/>
              </w:rPr>
              <w:t>加之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磷矿</w:t>
            </w:r>
            <w:r>
              <w:rPr>
                <w:rFonts w:hint="eastAsia" w:eastAsiaTheme="minorEastAsia"/>
                <w:bCs/>
                <w:sz w:val="24"/>
              </w:rPr>
              <w:t>新增产能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一般要满足</w:t>
            </w:r>
            <w:r>
              <w:rPr>
                <w:rFonts w:hint="eastAsia" w:eastAsiaTheme="minorEastAsia"/>
                <w:bCs/>
                <w:sz w:val="24"/>
              </w:rPr>
              <w:t>就地转化，上下游协同布局等政策要求，对磷矿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的整体管控力度不断加强，各省磷矿增量谨慎可控。为此，我们认为</w:t>
            </w:r>
            <w:r>
              <w:rPr>
                <w:rFonts w:hint="eastAsia" w:eastAsiaTheme="minorEastAsia"/>
                <w:bCs/>
                <w:sz w:val="24"/>
              </w:rPr>
              <w:t>磷矿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虽有新增产能和产量，但未来一段时间磷矿石</w:t>
            </w:r>
            <w:r>
              <w:rPr>
                <w:rFonts w:hint="eastAsia" w:eastAsiaTheme="minorEastAsia"/>
                <w:bCs/>
                <w:sz w:val="24"/>
              </w:rPr>
              <w:t>市场供需关系未发生重大改变，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将继续保持</w:t>
            </w:r>
            <w:r>
              <w:rPr>
                <w:rFonts w:hint="eastAsia" w:eastAsiaTheme="minorEastAsia"/>
                <w:kern w:val="0"/>
                <w:sz w:val="24"/>
              </w:rPr>
              <w:t>供需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紧</w:t>
            </w:r>
            <w:r>
              <w:rPr>
                <w:rFonts w:hint="eastAsia" w:eastAsiaTheme="minorEastAsia"/>
                <w:kern w:val="0"/>
                <w:sz w:val="24"/>
              </w:rPr>
              <w:t>平衡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eastAsiaTheme="minorEastAsia"/>
                <w:kern w:val="0"/>
                <w:sz w:val="24"/>
              </w:rPr>
              <w:t>状态</w:t>
            </w:r>
            <w:r>
              <w:rPr>
                <w:kern w:val="0"/>
                <w:sz w:val="24"/>
              </w:rPr>
              <w:t>。</w:t>
            </w:r>
          </w:p>
          <w:p w14:paraId="687C816B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今年硫磺涨价，公司如何应对</w:t>
            </w:r>
            <w:r>
              <w:rPr>
                <w:b/>
                <w:kern w:val="0"/>
                <w:sz w:val="24"/>
              </w:rPr>
              <w:t>？</w:t>
            </w:r>
          </w:p>
          <w:p w14:paraId="6BAA46F0">
            <w:pPr>
              <w:widowControl/>
              <w:ind w:firstLine="482" w:firstLineChars="200"/>
              <w:rPr>
                <w:kern w:val="0"/>
                <w:sz w:val="24"/>
                <w:highlight w:val="yellow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sz w:val="24"/>
              </w:rPr>
              <w:t>今年以来，国际市场硫磺价格持续走高，对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整个磷化工</w:t>
            </w:r>
            <w:r>
              <w:rPr>
                <w:rFonts w:hint="eastAsia" w:eastAsiaTheme="minorEastAsia"/>
                <w:sz w:val="24"/>
              </w:rPr>
              <w:t>生产企业带来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一定的</w:t>
            </w:r>
            <w:r>
              <w:rPr>
                <w:rFonts w:hint="eastAsia" w:eastAsiaTheme="minorEastAsia"/>
                <w:sz w:val="24"/>
              </w:rPr>
              <w:t>成本压力。公司持续加强战略研判、优化采购策略，通过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结构性采购</w:t>
            </w:r>
            <w:r>
              <w:rPr>
                <w:rFonts w:hint="eastAsia" w:eastAsiaTheme="minorEastAsia"/>
                <w:sz w:val="24"/>
              </w:rPr>
              <w:t>和加大国内冶炼酸采购量，保持生产用硫的稳定供应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的同时尽力控制好采购成本</w:t>
            </w:r>
            <w:r>
              <w:rPr>
                <w:rFonts w:hint="eastAsia" w:eastAsiaTheme="minorEastAsia"/>
                <w:sz w:val="24"/>
              </w:rPr>
              <w:t>。同时，公司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长期以来维持较好的</w:t>
            </w:r>
            <w:r>
              <w:rPr>
                <w:rFonts w:hint="eastAsia" w:eastAsiaTheme="minorEastAsia"/>
                <w:sz w:val="24"/>
              </w:rPr>
              <w:t>战略库存，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可以有效</w:t>
            </w:r>
            <w:r>
              <w:rPr>
                <w:rFonts w:hint="eastAsia" w:eastAsiaTheme="minorEastAsia"/>
                <w:sz w:val="24"/>
              </w:rPr>
              <w:t>避免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在</w:t>
            </w:r>
            <w:r>
              <w:rPr>
                <w:rFonts w:hint="eastAsia" w:eastAsiaTheme="minorEastAsia"/>
                <w:sz w:val="24"/>
              </w:rPr>
              <w:t>非理性高价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时期的</w:t>
            </w:r>
            <w:r>
              <w:rPr>
                <w:rFonts w:hint="eastAsia" w:eastAsiaTheme="minorEastAsia"/>
                <w:sz w:val="24"/>
              </w:rPr>
              <w:t>硫磺采购，努力保障公司硫磺成本优于市场水平。</w:t>
            </w:r>
          </w:p>
          <w:p w14:paraId="1A5D9B29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公司未来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资产负债率控制、</w:t>
            </w:r>
            <w:r>
              <w:rPr>
                <w:rFonts w:hint="eastAsia"/>
                <w:b/>
                <w:kern w:val="0"/>
                <w:sz w:val="24"/>
              </w:rPr>
              <w:t>分红计划、资本开支是如何安排的，如何寻求平衡</w:t>
            </w:r>
            <w:r>
              <w:rPr>
                <w:b/>
                <w:kern w:val="0"/>
                <w:sz w:val="24"/>
              </w:rPr>
              <w:t>？</w:t>
            </w:r>
          </w:p>
          <w:p w14:paraId="18A11B71">
            <w:pPr>
              <w:widowControl/>
              <w:ind w:firstLine="482" w:firstLineChars="200"/>
              <w:rPr>
                <w:rFonts w:hint="eastAsia" w:eastAsiaTheme="minorEastAsia"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sz w:val="24"/>
              </w:rPr>
              <w:t>公司今年三季度末资产负债率已降至47.38%。过去几年，公司资本开支主要集中在装置技改优化、提升资源保障能力和安全环保投入等方面，整体资本开支维持稳定水平；十五五期间，公司将根据相关重大项目的论证、审批情况和投资建设进度，谨慎合理筹划资本开资。</w:t>
            </w:r>
          </w:p>
          <w:p w14:paraId="312C5DE1">
            <w:pPr>
              <w:widowControl/>
              <w:ind w:firstLine="480" w:firstLineChars="200"/>
              <w:rPr>
                <w:rFonts w:hint="eastAsia"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同时，近年来，公司经营性净现金流持续保持较好水平，公司也将在高效运用自有资金的基础上，充分结合各类融资方式，有效满足项目建设所需资金。</w:t>
            </w:r>
          </w:p>
          <w:p w14:paraId="2467C445">
            <w:pPr>
              <w:widowControl/>
              <w:spacing w:before="156" w:beforeLines="50" w:after="156" w:afterLines="50"/>
              <w:ind w:firstLine="480" w:firstLineChars="200"/>
              <w:rPr>
                <w:b/>
                <w:kern w:val="0"/>
                <w:sz w:val="24"/>
              </w:rPr>
            </w:pPr>
            <w:r>
              <w:rPr>
                <w:rFonts w:hint="eastAsia" w:eastAsiaTheme="minorEastAsia"/>
                <w:sz w:val="24"/>
              </w:rPr>
              <w:t>公司将严格执行《未来三年（2024-2026年度）现金分红规划》，即“以现金方式累计分配的利润原则上不少于此三年度（2024-2026）累计实现可供分配利润总额的45%”，在充分考虑公司运营资金、投资项目和资产负债情况等综合因素的基础上，有效增强公司现金分红的稳定性、持续性和可预期性。</w:t>
            </w:r>
          </w:p>
          <w:p w14:paraId="5895D1F2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公司现有10万吨/年磷酸铁项目运行如何</w:t>
            </w:r>
            <w:r>
              <w:rPr>
                <w:b/>
                <w:kern w:val="0"/>
                <w:sz w:val="24"/>
              </w:rPr>
              <w:t>？</w:t>
            </w:r>
          </w:p>
          <w:p w14:paraId="06A40A4F">
            <w:pPr>
              <w:widowControl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kern w:val="0"/>
                <w:sz w:val="24"/>
              </w:rPr>
              <w:t>今年下半年，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随着下游订需求快速提升，</w:t>
            </w:r>
            <w:r>
              <w:rPr>
                <w:rFonts w:hint="eastAsia" w:eastAsiaTheme="minorEastAsia"/>
                <w:kern w:val="0"/>
                <w:sz w:val="24"/>
              </w:rPr>
              <w:t>公司磷酸铁装置负荷不断提升，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近几个月实现满负荷生产和销售</w:t>
            </w:r>
            <w:r>
              <w:rPr>
                <w:rFonts w:hint="eastAsia" w:eastAsiaTheme="minorEastAsia"/>
                <w:kern w:val="0"/>
                <w:sz w:val="24"/>
              </w:rPr>
              <w:t>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有效降低了单位产品的固定成本，且价格略有上涨，初步实现了磷酸铁产品的扭亏。</w:t>
            </w:r>
            <w:r>
              <w:rPr>
                <w:rFonts w:hint="eastAsia" w:eastAsiaTheme="minorEastAsia"/>
                <w:kern w:val="0"/>
                <w:sz w:val="24"/>
              </w:rPr>
              <w:t>未来，公司将继续发挥自身资源、技术、全产业链一体化优势，持续做好装置稳定、高效运行，做好成本控制和市场开拓，促进项目盈利能力提升</w:t>
            </w:r>
            <w:r>
              <w:rPr>
                <w:kern w:val="0"/>
                <w:sz w:val="24"/>
              </w:rPr>
              <w:t>。</w:t>
            </w:r>
            <w:bookmarkStart w:id="1" w:name="_GoBack"/>
            <w:bookmarkEnd w:id="1"/>
          </w:p>
          <w:p w14:paraId="5E2C208F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5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公司未来的护城河体现在哪些方面</w:t>
            </w:r>
            <w:r>
              <w:rPr>
                <w:b/>
                <w:kern w:val="0"/>
                <w:sz w:val="24"/>
              </w:rPr>
              <w:t>？</w:t>
            </w:r>
          </w:p>
          <w:p w14:paraId="44F4A2ED">
            <w:pPr>
              <w:widowControl/>
              <w:ind w:firstLine="482" w:firstLineChars="200"/>
              <w:rPr>
                <w:kern w:val="0"/>
                <w:sz w:val="24"/>
                <w:highlight w:val="yellow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kern w:val="0"/>
                <w:sz w:val="24"/>
              </w:rPr>
              <w:t>公司的护城河主要体现在资源优势、规模优势、一体化运营优势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等方面</w:t>
            </w:r>
            <w:r>
              <w:rPr>
                <w:rFonts w:hint="eastAsia" w:eastAsiaTheme="minorEastAsia"/>
                <w:kern w:val="0"/>
                <w:sz w:val="24"/>
              </w:rPr>
              <w:t>。一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eastAsiaTheme="minorEastAsia"/>
                <w:kern w:val="0"/>
                <w:sz w:val="24"/>
              </w:rPr>
              <w:t>，公司围绕磷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矿</w:t>
            </w:r>
            <w:r>
              <w:rPr>
                <w:rFonts w:hint="eastAsia" w:eastAsiaTheme="minorEastAsia"/>
                <w:kern w:val="0"/>
                <w:sz w:val="24"/>
              </w:rPr>
              <w:t>、煤炭等矿产资源，持续加强资源保障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能力</w:t>
            </w:r>
            <w:r>
              <w:rPr>
                <w:rFonts w:hint="eastAsia" w:eastAsiaTheme="minorEastAsia"/>
                <w:kern w:val="0"/>
                <w:sz w:val="24"/>
              </w:rPr>
              <w:t>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同时实现磷酸、合成氨等主要中间产品的高度自给和全链条科学调配，</w:t>
            </w:r>
            <w:r>
              <w:rPr>
                <w:rFonts w:hint="eastAsia" w:eastAsiaTheme="minorEastAsia"/>
                <w:kern w:val="0"/>
                <w:sz w:val="24"/>
              </w:rPr>
              <w:t>以资源深加工、全产业综合利用，不断提升全产业链的竞争优势；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二是</w:t>
            </w:r>
            <w:r>
              <w:rPr>
                <w:rFonts w:hint="eastAsia" w:eastAsiaTheme="minorEastAsia"/>
                <w:kern w:val="0"/>
                <w:sz w:val="24"/>
              </w:rPr>
              <w:t>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近年来</w:t>
            </w:r>
            <w:r>
              <w:rPr>
                <w:rFonts w:hint="eastAsia" w:eastAsiaTheme="minorEastAsia"/>
                <w:kern w:val="0"/>
                <w:sz w:val="24"/>
              </w:rPr>
              <w:t>公司持续加大现有大型装置的技改优化，不断提升装置运行效能，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多套大型装置持续刷新运行效率纪录，充分发挥规模优势，</w:t>
            </w:r>
            <w:r>
              <w:rPr>
                <w:rFonts w:hint="eastAsia" w:eastAsiaTheme="minorEastAsia"/>
                <w:kern w:val="0"/>
                <w:sz w:val="24"/>
              </w:rPr>
              <w:t>实现成本端的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更优竞争力</w:t>
            </w:r>
            <w:r>
              <w:rPr>
                <w:rFonts w:hint="eastAsia" w:eastAsiaTheme="minorEastAsia"/>
                <w:kern w:val="0"/>
                <w:sz w:val="24"/>
              </w:rPr>
              <w:t>。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三是</w:t>
            </w:r>
            <w:r>
              <w:rPr>
                <w:rFonts w:hint="eastAsia" w:eastAsiaTheme="minorEastAsia"/>
                <w:kern w:val="0"/>
                <w:sz w:val="24"/>
              </w:rPr>
              <w:t>，公司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不断加强环保管控能力，</w:t>
            </w:r>
            <w:r>
              <w:rPr>
                <w:rFonts w:hint="eastAsia" w:eastAsiaTheme="minorEastAsia"/>
                <w:kern w:val="0"/>
                <w:sz w:val="24"/>
              </w:rPr>
              <w:t>在三绿工程（绿色矿山、绿色工厂、绿色产品）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建设</w:t>
            </w:r>
            <w:r>
              <w:rPr>
                <w:rFonts w:hint="eastAsia" w:eastAsiaTheme="minorEastAsia"/>
                <w:kern w:val="0"/>
                <w:sz w:val="24"/>
              </w:rPr>
              <w:t>、磷石膏综合治理等方面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加大管控力度和</w:t>
            </w:r>
            <w:r>
              <w:rPr>
                <w:rFonts w:hint="eastAsia" w:eastAsiaTheme="minorEastAsia"/>
                <w:kern w:val="0"/>
                <w:sz w:val="24"/>
              </w:rPr>
              <w:t>投入，持续夯实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磷化工产业的</w:t>
            </w:r>
            <w:r>
              <w:rPr>
                <w:rFonts w:hint="eastAsia" w:eastAsiaTheme="minorEastAsia"/>
                <w:kern w:val="0"/>
                <w:sz w:val="24"/>
              </w:rPr>
              <w:t>环保</w:t>
            </w:r>
            <w:r>
              <w:rPr>
                <w:rFonts w:hint="eastAsia" w:eastAsiaTheme="minorEastAsia"/>
                <w:kern w:val="0"/>
                <w:sz w:val="24"/>
                <w:lang w:val="en-US" w:eastAsia="zh-CN"/>
              </w:rPr>
              <w:t>管控优势</w:t>
            </w:r>
            <w:r>
              <w:rPr>
                <w:rFonts w:hint="eastAsia" w:eastAsiaTheme="minorEastAsia"/>
                <w:kern w:val="0"/>
                <w:sz w:val="24"/>
              </w:rPr>
              <w:t>。</w:t>
            </w:r>
          </w:p>
          <w:p w14:paraId="11804D39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b/>
                <w:kern w:val="0"/>
                <w:sz w:val="24"/>
              </w:rPr>
              <w:t>：</w:t>
            </w:r>
            <w:r>
              <w:rPr>
                <w:rFonts w:hint="eastAsia"/>
                <w:b/>
                <w:kern w:val="0"/>
                <w:sz w:val="24"/>
              </w:rPr>
              <w:t>公司镇雄磷矿项目开发进度安排</w:t>
            </w:r>
            <w:r>
              <w:rPr>
                <w:b/>
                <w:kern w:val="0"/>
                <w:sz w:val="24"/>
              </w:rPr>
              <w:t>？</w:t>
            </w:r>
          </w:p>
          <w:p w14:paraId="24B76EAD">
            <w:pPr>
              <w:widowControl/>
              <w:ind w:firstLine="482" w:firstLineChars="20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hint="eastAsia" w:eastAsiaTheme="minorEastAsia"/>
                <w:sz w:val="24"/>
              </w:rPr>
              <w:t>今年10月底，云南省自然资源厅已公示镇雄磷矿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的采矿权</w:t>
            </w:r>
            <w:r>
              <w:rPr>
                <w:rFonts w:hint="eastAsia" w:eastAsiaTheme="minorEastAsia"/>
                <w:sz w:val="24"/>
              </w:rPr>
              <w:t>事项，</w:t>
            </w:r>
            <w:r>
              <w:rPr>
                <w:rFonts w:eastAsiaTheme="minorEastAsia"/>
                <w:sz w:val="24"/>
              </w:rPr>
              <w:t>相关权证的办理情况公司将及时履行信息披露义务。未来，公司将继续协同各方，做好项目规划、设计和投资建设等工作，推进磷矿资源高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值</w:t>
            </w:r>
            <w:r>
              <w:rPr>
                <w:rFonts w:eastAsiaTheme="minorEastAsia"/>
                <w:sz w:val="24"/>
              </w:rPr>
              <w:t>高效利用。</w:t>
            </w:r>
          </w:p>
          <w:p w14:paraId="36230CDD">
            <w:pPr>
              <w:widowControl/>
              <w:ind w:firstLine="480" w:firstLineChars="200"/>
              <w:rPr>
                <w:kern w:val="0"/>
                <w:sz w:val="24"/>
              </w:rPr>
            </w:pPr>
          </w:p>
          <w:p w14:paraId="79B14177">
            <w:pPr>
              <w:widowControl/>
              <w:spacing w:before="156" w:beforeLines="50" w:after="156" w:afterLines="50"/>
              <w:ind w:firstLine="482" w:firstLineChars="200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问题</w:t>
            </w: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7</w:t>
            </w:r>
            <w:r>
              <w:rPr>
                <w:b/>
                <w:kern w:val="0"/>
                <w:sz w:val="24"/>
              </w:rPr>
              <w:t>：公司今年三季度毛利率创新高的原因？</w:t>
            </w:r>
          </w:p>
          <w:p w14:paraId="6E8E3B4C">
            <w:pPr>
              <w:widowControl/>
              <w:ind w:firstLine="482" w:firstLineChars="200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/>
                <w:bCs/>
                <w:sz w:val="24"/>
              </w:rPr>
              <w:t>回复：</w:t>
            </w:r>
            <w:r>
              <w:rPr>
                <w:rFonts w:eastAsiaTheme="minorEastAsia"/>
                <w:sz w:val="24"/>
              </w:rPr>
              <w:t>2025</w:t>
            </w:r>
            <w:r>
              <w:rPr>
                <w:rFonts w:hint="eastAsia" w:eastAsiaTheme="minorEastAsia"/>
                <w:sz w:val="24"/>
              </w:rPr>
              <w:t>年，公司聚焦主业，根据市场情况缩减了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大豆</w:t>
            </w:r>
            <w:r>
              <w:rPr>
                <w:rFonts w:hint="eastAsia" w:eastAsiaTheme="minorEastAsia"/>
                <w:sz w:val="24"/>
              </w:rPr>
              <w:t>商贸业务规模，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收入、成本相应减少，与大豆贸易</w:t>
            </w:r>
            <w:r>
              <w:rPr>
                <w:rFonts w:hint="eastAsia" w:eastAsiaTheme="minorEastAsia"/>
                <w:sz w:val="24"/>
              </w:rPr>
              <w:t>相关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的</w:t>
            </w:r>
            <w:r>
              <w:rPr>
                <w:rFonts w:hint="eastAsia" w:eastAsiaTheme="minorEastAsia"/>
                <w:sz w:val="24"/>
              </w:rPr>
              <w:t>存货</w:t>
            </w:r>
            <w:r>
              <w:rPr>
                <w:rFonts w:hint="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eastAsiaTheme="minorEastAsia"/>
                <w:sz w:val="24"/>
              </w:rPr>
              <w:t>往来款项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等流动资产和流动负债降低</w:t>
            </w:r>
            <w:r>
              <w:rPr>
                <w:rFonts w:hint="eastAsia" w:eastAsiaTheme="minorEastAsia"/>
                <w:sz w:val="24"/>
              </w:rPr>
              <w:t>，主营业务毛利率显著提升</w:t>
            </w:r>
            <w:r>
              <w:rPr>
                <w:rFonts w:hint="eastAsia" w:eastAsiaTheme="minorEastAsia"/>
                <w:sz w:val="24"/>
                <w:lang w:eastAsia="zh-CN"/>
              </w:rPr>
              <w:t>，</w:t>
            </w:r>
            <w:r>
              <w:rPr>
                <w:rFonts w:hint="eastAsia" w:eastAsiaTheme="minorEastAsia"/>
                <w:sz w:val="24"/>
                <w:lang w:val="en-US" w:eastAsia="zh-CN"/>
              </w:rPr>
              <w:t>毛利率等报表质量得到提升</w:t>
            </w:r>
            <w:r>
              <w:rPr>
                <w:rFonts w:hint="eastAsia" w:eastAsiaTheme="minorEastAsia"/>
                <w:sz w:val="24"/>
              </w:rPr>
              <w:t>；</w:t>
            </w:r>
            <w:r>
              <w:rPr>
                <w:rFonts w:eastAsiaTheme="minorEastAsia"/>
                <w:bCs/>
                <w:sz w:val="24"/>
              </w:rPr>
              <w:t>截止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到</w:t>
            </w:r>
            <w:r>
              <w:rPr>
                <w:rFonts w:eastAsiaTheme="minorEastAsia"/>
                <w:bCs/>
                <w:sz w:val="24"/>
              </w:rPr>
              <w:t>今年</w:t>
            </w:r>
            <w:r>
              <w:rPr>
                <w:rFonts w:hint="eastAsia" w:eastAsiaTheme="minorEastAsia"/>
                <w:bCs/>
                <w:sz w:val="24"/>
              </w:rPr>
              <w:t>三</w:t>
            </w:r>
            <w:r>
              <w:rPr>
                <w:rFonts w:eastAsiaTheme="minorEastAsia"/>
                <w:bCs/>
                <w:sz w:val="24"/>
              </w:rPr>
              <w:t>季度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末</w:t>
            </w:r>
            <w:r>
              <w:rPr>
                <w:rFonts w:eastAsiaTheme="minorEastAsia"/>
                <w:bCs/>
                <w:sz w:val="24"/>
              </w:rPr>
              <w:t>，公司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大豆</w:t>
            </w:r>
            <w:r>
              <w:rPr>
                <w:rFonts w:eastAsiaTheme="minorEastAsia"/>
                <w:bCs/>
                <w:sz w:val="24"/>
              </w:rPr>
              <w:t>贸易已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基本停止</w:t>
            </w:r>
            <w:r>
              <w:rPr>
                <w:rFonts w:eastAsiaTheme="minorEastAsia"/>
                <w:bCs/>
                <w:sz w:val="24"/>
              </w:rPr>
              <w:t>，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1-3季度营业收入同比下降19.53%，整体毛利率由16.99%上升至20.85%</w:t>
            </w:r>
            <w:r>
              <w:rPr>
                <w:rFonts w:eastAsiaTheme="minorEastAsia"/>
                <w:bCs/>
                <w:sz w:val="24"/>
              </w:rPr>
              <w:t>。</w:t>
            </w:r>
          </w:p>
          <w:p w14:paraId="79A49664">
            <w:pPr>
              <w:widowControl/>
              <w:spacing w:before="156" w:beforeLines="50" w:after="156" w:afterLines="50"/>
              <w:ind w:firstLine="482" w:firstLineChars="200"/>
              <w:rPr>
                <w:rFonts w:hint="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问题8：近期公布的对化肥流通环节管控的政策，公司如何应对？</w:t>
            </w:r>
          </w:p>
          <w:bookmarkEnd w:id="0"/>
          <w:p w14:paraId="0F8C1005">
            <w:pPr>
              <w:widowControl/>
              <w:ind w:firstLine="480" w:firstLineChars="200"/>
              <w:rPr>
                <w:rFonts w:hint="default" w:eastAsiaTheme="minorEastAsia"/>
                <w:bCs/>
                <w:sz w:val="24"/>
                <w:lang w:val="en-US"/>
              </w:rPr>
            </w:pP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>回复：公司严格按照国家保供稳价政策，积极开展冬储保供工作；倡议全体经销商及行业企业，有序推进冬储进度，做好春耕期间保供稳价工作，共同维护有序的市场环境；充分发挥全产业链与产能规模优势，通过内部深挖潜力、优化运营、全力做好春耕期间的国内化肥保供稳价工作。</w:t>
            </w:r>
          </w:p>
          <w:p w14:paraId="6FF76DD0">
            <w:pPr>
              <w:ind w:firstLine="482" w:firstLineChars="200"/>
              <w:rPr>
                <w:rFonts w:eastAsiaTheme="minorEastAsia"/>
                <w:b/>
                <w:bCs/>
                <w:sz w:val="24"/>
              </w:rPr>
            </w:pPr>
          </w:p>
        </w:tc>
      </w:tr>
      <w:tr w14:paraId="414B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8" w:type="dxa"/>
          </w:tblCellMar>
        </w:tblPrEx>
        <w:tc>
          <w:tcPr>
            <w:tcW w:w="1555" w:type="dxa"/>
            <w:tcMar>
              <w:left w:w="28" w:type="dxa"/>
              <w:right w:w="28" w:type="dxa"/>
            </w:tcMar>
            <w:vAlign w:val="center"/>
          </w:tcPr>
          <w:p w14:paraId="706C63E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6741" w:type="dxa"/>
            <w:tcMar>
              <w:left w:w="28" w:type="dxa"/>
              <w:right w:w="28" w:type="dxa"/>
            </w:tcMar>
            <w:vAlign w:val="center"/>
          </w:tcPr>
          <w:p w14:paraId="0941EDC4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5年12月12日</w:t>
            </w:r>
          </w:p>
        </w:tc>
      </w:tr>
    </w:tbl>
    <w:p w14:paraId="7D643208">
      <w:pPr>
        <w:jc w:val="left"/>
      </w:pPr>
    </w:p>
    <w:sectPr>
      <w:footerReference r:id="rId5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747025"/>
      <w:docPartObj>
        <w:docPartGallery w:val="autotext"/>
      </w:docPartObj>
    </w:sdtPr>
    <w:sdtContent>
      <w:p w14:paraId="55A1471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5CFF4"/>
    <w:multiLevelType w:val="singleLevel"/>
    <w:tmpl w:val="B9C5CF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Y2RkMWM3MGUxNDE1MDUwY2Y1NzcxNWNmYzgyY2IifQ=="/>
  </w:docVars>
  <w:rsids>
    <w:rsidRoot w:val="0018093F"/>
    <w:rsid w:val="00002B80"/>
    <w:rsid w:val="00012DCD"/>
    <w:rsid w:val="00014465"/>
    <w:rsid w:val="0002063B"/>
    <w:rsid w:val="00024232"/>
    <w:rsid w:val="00025DFC"/>
    <w:rsid w:val="00033003"/>
    <w:rsid w:val="00037F98"/>
    <w:rsid w:val="000418E4"/>
    <w:rsid w:val="00041F83"/>
    <w:rsid w:val="00043B5E"/>
    <w:rsid w:val="00054E03"/>
    <w:rsid w:val="00056950"/>
    <w:rsid w:val="0006203C"/>
    <w:rsid w:val="00066098"/>
    <w:rsid w:val="00083A2C"/>
    <w:rsid w:val="000A4659"/>
    <w:rsid w:val="000B311A"/>
    <w:rsid w:val="000D4CB4"/>
    <w:rsid w:val="000E05E8"/>
    <w:rsid w:val="000F2A48"/>
    <w:rsid w:val="00107E67"/>
    <w:rsid w:val="00107F2D"/>
    <w:rsid w:val="00115FD9"/>
    <w:rsid w:val="00126C78"/>
    <w:rsid w:val="00130E66"/>
    <w:rsid w:val="001357AA"/>
    <w:rsid w:val="00165373"/>
    <w:rsid w:val="00172DE8"/>
    <w:rsid w:val="00173C1D"/>
    <w:rsid w:val="00174652"/>
    <w:rsid w:val="0018093F"/>
    <w:rsid w:val="00183C15"/>
    <w:rsid w:val="00186260"/>
    <w:rsid w:val="001971CC"/>
    <w:rsid w:val="001A1471"/>
    <w:rsid w:val="001A21A9"/>
    <w:rsid w:val="001B493B"/>
    <w:rsid w:val="001B54EB"/>
    <w:rsid w:val="001C3850"/>
    <w:rsid w:val="001D124A"/>
    <w:rsid w:val="001E358B"/>
    <w:rsid w:val="001E7C45"/>
    <w:rsid w:val="002021CB"/>
    <w:rsid w:val="00207ACA"/>
    <w:rsid w:val="00213887"/>
    <w:rsid w:val="002153E0"/>
    <w:rsid w:val="0021681F"/>
    <w:rsid w:val="002206B4"/>
    <w:rsid w:val="002360AC"/>
    <w:rsid w:val="00236D22"/>
    <w:rsid w:val="002450BC"/>
    <w:rsid w:val="00246E89"/>
    <w:rsid w:val="00255BC5"/>
    <w:rsid w:val="00262633"/>
    <w:rsid w:val="002654D0"/>
    <w:rsid w:val="0027150E"/>
    <w:rsid w:val="002759A9"/>
    <w:rsid w:val="00285847"/>
    <w:rsid w:val="002912CC"/>
    <w:rsid w:val="00293836"/>
    <w:rsid w:val="00297BB3"/>
    <w:rsid w:val="002A482A"/>
    <w:rsid w:val="002B45F8"/>
    <w:rsid w:val="002C20F2"/>
    <w:rsid w:val="002C2E94"/>
    <w:rsid w:val="002C69B9"/>
    <w:rsid w:val="002D2CFC"/>
    <w:rsid w:val="002D6F75"/>
    <w:rsid w:val="00313044"/>
    <w:rsid w:val="003201E2"/>
    <w:rsid w:val="00324409"/>
    <w:rsid w:val="00335304"/>
    <w:rsid w:val="0033747B"/>
    <w:rsid w:val="00340D21"/>
    <w:rsid w:val="00341129"/>
    <w:rsid w:val="003421B8"/>
    <w:rsid w:val="00343308"/>
    <w:rsid w:val="00345EBF"/>
    <w:rsid w:val="00346370"/>
    <w:rsid w:val="00347C51"/>
    <w:rsid w:val="003522A1"/>
    <w:rsid w:val="00352C7A"/>
    <w:rsid w:val="003552B2"/>
    <w:rsid w:val="00357D3E"/>
    <w:rsid w:val="0036214C"/>
    <w:rsid w:val="00363C08"/>
    <w:rsid w:val="003750C3"/>
    <w:rsid w:val="003756D4"/>
    <w:rsid w:val="003763C5"/>
    <w:rsid w:val="003824F1"/>
    <w:rsid w:val="00390725"/>
    <w:rsid w:val="00394533"/>
    <w:rsid w:val="003966BC"/>
    <w:rsid w:val="003A07E5"/>
    <w:rsid w:val="003A3644"/>
    <w:rsid w:val="003A6A90"/>
    <w:rsid w:val="003A74C6"/>
    <w:rsid w:val="003B4B59"/>
    <w:rsid w:val="003C07C9"/>
    <w:rsid w:val="003C2E5D"/>
    <w:rsid w:val="003C33B7"/>
    <w:rsid w:val="003C3F52"/>
    <w:rsid w:val="003C5091"/>
    <w:rsid w:val="003C642A"/>
    <w:rsid w:val="003E24C9"/>
    <w:rsid w:val="003E2E70"/>
    <w:rsid w:val="00410B32"/>
    <w:rsid w:val="004205AF"/>
    <w:rsid w:val="00420BBC"/>
    <w:rsid w:val="0042428C"/>
    <w:rsid w:val="004463ED"/>
    <w:rsid w:val="0044748F"/>
    <w:rsid w:val="00447E81"/>
    <w:rsid w:val="00454905"/>
    <w:rsid w:val="00455D6E"/>
    <w:rsid w:val="00455DF5"/>
    <w:rsid w:val="004637CB"/>
    <w:rsid w:val="004714BD"/>
    <w:rsid w:val="00474EF7"/>
    <w:rsid w:val="00480641"/>
    <w:rsid w:val="0048492E"/>
    <w:rsid w:val="00486A7C"/>
    <w:rsid w:val="00494E6B"/>
    <w:rsid w:val="0049690D"/>
    <w:rsid w:val="004D3A9B"/>
    <w:rsid w:val="004D7D17"/>
    <w:rsid w:val="004E2FB3"/>
    <w:rsid w:val="004F760C"/>
    <w:rsid w:val="00501837"/>
    <w:rsid w:val="00505C9A"/>
    <w:rsid w:val="005132EA"/>
    <w:rsid w:val="005331F0"/>
    <w:rsid w:val="00534E56"/>
    <w:rsid w:val="00535F93"/>
    <w:rsid w:val="00555776"/>
    <w:rsid w:val="00556C7A"/>
    <w:rsid w:val="00565472"/>
    <w:rsid w:val="005677EE"/>
    <w:rsid w:val="00571B9B"/>
    <w:rsid w:val="00580BBE"/>
    <w:rsid w:val="00581C25"/>
    <w:rsid w:val="0058414D"/>
    <w:rsid w:val="00596E3B"/>
    <w:rsid w:val="00597457"/>
    <w:rsid w:val="005C77AF"/>
    <w:rsid w:val="005F0CE1"/>
    <w:rsid w:val="005F42DB"/>
    <w:rsid w:val="005F4B65"/>
    <w:rsid w:val="005F4D58"/>
    <w:rsid w:val="006035B1"/>
    <w:rsid w:val="0061116F"/>
    <w:rsid w:val="00611E45"/>
    <w:rsid w:val="00623BBB"/>
    <w:rsid w:val="00627012"/>
    <w:rsid w:val="0063062D"/>
    <w:rsid w:val="00631D39"/>
    <w:rsid w:val="00632088"/>
    <w:rsid w:val="006360A1"/>
    <w:rsid w:val="00640BC5"/>
    <w:rsid w:val="006444BF"/>
    <w:rsid w:val="00651A6E"/>
    <w:rsid w:val="00652A4C"/>
    <w:rsid w:val="00652AD3"/>
    <w:rsid w:val="0065433B"/>
    <w:rsid w:val="006808C4"/>
    <w:rsid w:val="006819AF"/>
    <w:rsid w:val="00681ACC"/>
    <w:rsid w:val="00682621"/>
    <w:rsid w:val="00690BC0"/>
    <w:rsid w:val="006A57C4"/>
    <w:rsid w:val="006B722D"/>
    <w:rsid w:val="006E3C9A"/>
    <w:rsid w:val="007175D6"/>
    <w:rsid w:val="007203C2"/>
    <w:rsid w:val="00724224"/>
    <w:rsid w:val="007340E5"/>
    <w:rsid w:val="00757532"/>
    <w:rsid w:val="00761C03"/>
    <w:rsid w:val="0076510E"/>
    <w:rsid w:val="00765340"/>
    <w:rsid w:val="007767E4"/>
    <w:rsid w:val="007826A1"/>
    <w:rsid w:val="007918F1"/>
    <w:rsid w:val="00792F8E"/>
    <w:rsid w:val="00795F10"/>
    <w:rsid w:val="00796972"/>
    <w:rsid w:val="007D013E"/>
    <w:rsid w:val="007E1A53"/>
    <w:rsid w:val="00801E53"/>
    <w:rsid w:val="00803364"/>
    <w:rsid w:val="008053F7"/>
    <w:rsid w:val="0082381B"/>
    <w:rsid w:val="00831605"/>
    <w:rsid w:val="008323E9"/>
    <w:rsid w:val="0083598B"/>
    <w:rsid w:val="00837802"/>
    <w:rsid w:val="008565FD"/>
    <w:rsid w:val="00860362"/>
    <w:rsid w:val="008817D6"/>
    <w:rsid w:val="00887530"/>
    <w:rsid w:val="008A34A7"/>
    <w:rsid w:val="008A6199"/>
    <w:rsid w:val="008C22D1"/>
    <w:rsid w:val="008C313E"/>
    <w:rsid w:val="008C7D1C"/>
    <w:rsid w:val="008D512A"/>
    <w:rsid w:val="008F6302"/>
    <w:rsid w:val="00923980"/>
    <w:rsid w:val="00943234"/>
    <w:rsid w:val="0094640F"/>
    <w:rsid w:val="00953C46"/>
    <w:rsid w:val="00976074"/>
    <w:rsid w:val="009839AD"/>
    <w:rsid w:val="00987BA5"/>
    <w:rsid w:val="00992E8B"/>
    <w:rsid w:val="009A5B87"/>
    <w:rsid w:val="009A664F"/>
    <w:rsid w:val="009B2BBC"/>
    <w:rsid w:val="009B4FC9"/>
    <w:rsid w:val="009C153C"/>
    <w:rsid w:val="009C154A"/>
    <w:rsid w:val="009C2A0C"/>
    <w:rsid w:val="009D5B36"/>
    <w:rsid w:val="009D6D39"/>
    <w:rsid w:val="009E522A"/>
    <w:rsid w:val="009E7790"/>
    <w:rsid w:val="009F1DD5"/>
    <w:rsid w:val="009F3A85"/>
    <w:rsid w:val="009F783F"/>
    <w:rsid w:val="00A05707"/>
    <w:rsid w:val="00A274CD"/>
    <w:rsid w:val="00A30A26"/>
    <w:rsid w:val="00A44B76"/>
    <w:rsid w:val="00A456DE"/>
    <w:rsid w:val="00A45C57"/>
    <w:rsid w:val="00A460BE"/>
    <w:rsid w:val="00A50736"/>
    <w:rsid w:val="00A717BF"/>
    <w:rsid w:val="00A75C18"/>
    <w:rsid w:val="00A8737D"/>
    <w:rsid w:val="00A87ACB"/>
    <w:rsid w:val="00A87EE5"/>
    <w:rsid w:val="00A905DB"/>
    <w:rsid w:val="00A9687F"/>
    <w:rsid w:val="00AA0E83"/>
    <w:rsid w:val="00AA67B8"/>
    <w:rsid w:val="00AB1A4B"/>
    <w:rsid w:val="00AB2BAE"/>
    <w:rsid w:val="00AB42FF"/>
    <w:rsid w:val="00AC1019"/>
    <w:rsid w:val="00AC7143"/>
    <w:rsid w:val="00AD0BB2"/>
    <w:rsid w:val="00AE4A53"/>
    <w:rsid w:val="00AE6283"/>
    <w:rsid w:val="00AF0B81"/>
    <w:rsid w:val="00AF6B4A"/>
    <w:rsid w:val="00B026A8"/>
    <w:rsid w:val="00B041D7"/>
    <w:rsid w:val="00B07BD4"/>
    <w:rsid w:val="00B10D15"/>
    <w:rsid w:val="00B163DE"/>
    <w:rsid w:val="00B24EF1"/>
    <w:rsid w:val="00B3753A"/>
    <w:rsid w:val="00B42491"/>
    <w:rsid w:val="00B44E53"/>
    <w:rsid w:val="00B50B07"/>
    <w:rsid w:val="00B6146B"/>
    <w:rsid w:val="00B631FF"/>
    <w:rsid w:val="00B7104C"/>
    <w:rsid w:val="00BB0966"/>
    <w:rsid w:val="00BB6551"/>
    <w:rsid w:val="00BD1738"/>
    <w:rsid w:val="00BD732A"/>
    <w:rsid w:val="00BE2AD2"/>
    <w:rsid w:val="00BF238C"/>
    <w:rsid w:val="00C057F6"/>
    <w:rsid w:val="00C278D9"/>
    <w:rsid w:val="00C31731"/>
    <w:rsid w:val="00C52778"/>
    <w:rsid w:val="00C54E6A"/>
    <w:rsid w:val="00C707F8"/>
    <w:rsid w:val="00CA7106"/>
    <w:rsid w:val="00CD13E9"/>
    <w:rsid w:val="00CD3F89"/>
    <w:rsid w:val="00CF0813"/>
    <w:rsid w:val="00CF4CB9"/>
    <w:rsid w:val="00D0046C"/>
    <w:rsid w:val="00D020FB"/>
    <w:rsid w:val="00D02CF6"/>
    <w:rsid w:val="00D043C4"/>
    <w:rsid w:val="00D07C03"/>
    <w:rsid w:val="00D1494A"/>
    <w:rsid w:val="00D227AE"/>
    <w:rsid w:val="00D27053"/>
    <w:rsid w:val="00D45AC8"/>
    <w:rsid w:val="00D523BD"/>
    <w:rsid w:val="00D52794"/>
    <w:rsid w:val="00D551A1"/>
    <w:rsid w:val="00D636CA"/>
    <w:rsid w:val="00D646FE"/>
    <w:rsid w:val="00D671E3"/>
    <w:rsid w:val="00D80029"/>
    <w:rsid w:val="00D85818"/>
    <w:rsid w:val="00D908FC"/>
    <w:rsid w:val="00D92C99"/>
    <w:rsid w:val="00D96C78"/>
    <w:rsid w:val="00D975B5"/>
    <w:rsid w:val="00D97CD5"/>
    <w:rsid w:val="00DB1AA2"/>
    <w:rsid w:val="00DB2877"/>
    <w:rsid w:val="00DC0898"/>
    <w:rsid w:val="00DC6B6A"/>
    <w:rsid w:val="00DD2A74"/>
    <w:rsid w:val="00DD3619"/>
    <w:rsid w:val="00DE09E1"/>
    <w:rsid w:val="00DF40E1"/>
    <w:rsid w:val="00DF629C"/>
    <w:rsid w:val="00DF62AE"/>
    <w:rsid w:val="00E104A7"/>
    <w:rsid w:val="00E12AE5"/>
    <w:rsid w:val="00E20B29"/>
    <w:rsid w:val="00E268E6"/>
    <w:rsid w:val="00E33504"/>
    <w:rsid w:val="00E3429A"/>
    <w:rsid w:val="00E34DDB"/>
    <w:rsid w:val="00E57C55"/>
    <w:rsid w:val="00E70B5C"/>
    <w:rsid w:val="00E830FF"/>
    <w:rsid w:val="00E9149A"/>
    <w:rsid w:val="00E9421F"/>
    <w:rsid w:val="00EB5C30"/>
    <w:rsid w:val="00EB6DD8"/>
    <w:rsid w:val="00EC217C"/>
    <w:rsid w:val="00EC4971"/>
    <w:rsid w:val="00EC4CD4"/>
    <w:rsid w:val="00EC6964"/>
    <w:rsid w:val="00ED0B8A"/>
    <w:rsid w:val="00ED433C"/>
    <w:rsid w:val="00ED7772"/>
    <w:rsid w:val="00EE0756"/>
    <w:rsid w:val="00EE3138"/>
    <w:rsid w:val="00EE3A7A"/>
    <w:rsid w:val="00EE3FC8"/>
    <w:rsid w:val="00EF1B97"/>
    <w:rsid w:val="00EF2A2C"/>
    <w:rsid w:val="00F01646"/>
    <w:rsid w:val="00F101F0"/>
    <w:rsid w:val="00F1559D"/>
    <w:rsid w:val="00F1686F"/>
    <w:rsid w:val="00F212C1"/>
    <w:rsid w:val="00F21B5E"/>
    <w:rsid w:val="00F2450C"/>
    <w:rsid w:val="00F34295"/>
    <w:rsid w:val="00F37029"/>
    <w:rsid w:val="00F44351"/>
    <w:rsid w:val="00F54180"/>
    <w:rsid w:val="00F64DC8"/>
    <w:rsid w:val="00F66522"/>
    <w:rsid w:val="00F70655"/>
    <w:rsid w:val="00F72F5A"/>
    <w:rsid w:val="00F7529E"/>
    <w:rsid w:val="00F8445F"/>
    <w:rsid w:val="00F87C83"/>
    <w:rsid w:val="00F92EDD"/>
    <w:rsid w:val="00FA044B"/>
    <w:rsid w:val="00FA5034"/>
    <w:rsid w:val="00FC4394"/>
    <w:rsid w:val="00FD169B"/>
    <w:rsid w:val="00FD32D4"/>
    <w:rsid w:val="00FD35AA"/>
    <w:rsid w:val="00FE7F5B"/>
    <w:rsid w:val="00FF64FB"/>
    <w:rsid w:val="01B54888"/>
    <w:rsid w:val="15DE5A70"/>
    <w:rsid w:val="15FE458D"/>
    <w:rsid w:val="200E50AB"/>
    <w:rsid w:val="20DA184E"/>
    <w:rsid w:val="239D6975"/>
    <w:rsid w:val="293D2D89"/>
    <w:rsid w:val="2B4D185D"/>
    <w:rsid w:val="31EB0440"/>
    <w:rsid w:val="32C16522"/>
    <w:rsid w:val="34BF33EB"/>
    <w:rsid w:val="3A4510D0"/>
    <w:rsid w:val="3C0C109D"/>
    <w:rsid w:val="42175839"/>
    <w:rsid w:val="43B830F6"/>
    <w:rsid w:val="44906DAA"/>
    <w:rsid w:val="48654F20"/>
    <w:rsid w:val="48C5377B"/>
    <w:rsid w:val="4AEB45C9"/>
    <w:rsid w:val="58847879"/>
    <w:rsid w:val="5BDF5CC7"/>
    <w:rsid w:val="5C507600"/>
    <w:rsid w:val="62553F40"/>
    <w:rsid w:val="62D356D4"/>
    <w:rsid w:val="65147051"/>
    <w:rsid w:val="69540B19"/>
    <w:rsid w:val="6D370D3E"/>
    <w:rsid w:val="6EF50CE9"/>
    <w:rsid w:val="728602CC"/>
    <w:rsid w:val="78833509"/>
    <w:rsid w:val="79252C4D"/>
    <w:rsid w:val="798A7E2C"/>
    <w:rsid w:val="79F842AA"/>
    <w:rsid w:val="7B8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0794-EFFA-4CA1-9DC8-3A4B0D39C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YTH</Company>
  <Pages>3</Pages>
  <Words>608</Words>
  <Characters>3471</Characters>
  <Lines>28</Lines>
  <Paragraphs>8</Paragraphs>
  <TotalTime>4</TotalTime>
  <ScaleCrop>false</ScaleCrop>
  <LinksUpToDate>false</LinksUpToDate>
  <CharactersWithSpaces>4071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2023-07-25T08:56:00Z</dcterms:created>
  <dc:creator>Liang Zhe</dc:creator>
  <cp:lastModifiedBy>徐刚军</cp:lastModifiedBy>
  <cp:lastPrinted>2021-07-09T06:00:00Z</cp:lastPrinted>
  <dcterms:modified xsi:type="dcterms:W3CDTF">2025-12-15T08:30:23Z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C9062CBAD1A3400DA04ECDADC1F1ED37_13</vt:lpwstr>
  </property>
</Properties>
</file>