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E3BAD">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浙江物产环保能源股份有限公司</w:t>
      </w:r>
    </w:p>
    <w:p w14:paraId="1C3436D0">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投资者关系活动记录表</w:t>
      </w:r>
    </w:p>
    <w:p w14:paraId="1A2790AC">
      <w:pPr>
        <w:spacing w:line="360" w:lineRule="auto"/>
        <w:jc w:val="right"/>
        <w:rPr>
          <w:rFonts w:hint="eastAsia" w:ascii="宋体" w:hAnsi="宋体" w:cs="宋体"/>
          <w:bCs/>
          <w:iCs/>
          <w:color w:val="000000"/>
          <w:sz w:val="28"/>
          <w:szCs w:val="28"/>
        </w:rPr>
      </w:pPr>
      <w:r>
        <w:rPr>
          <w:rFonts w:hint="eastAsia" w:ascii="宋体" w:hAnsi="宋体" w:cs="宋体"/>
          <w:bCs/>
          <w:iCs/>
          <w:color w:val="000000"/>
          <w:sz w:val="28"/>
          <w:szCs w:val="28"/>
        </w:rPr>
        <w:t>编号：2025-003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85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EAC7B14">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投资者关系活动类别</w:t>
            </w:r>
          </w:p>
        </w:tc>
        <w:tc>
          <w:tcPr>
            <w:tcW w:w="6614" w:type="dxa"/>
            <w:tcBorders>
              <w:top w:val="single" w:color="auto" w:sz="4" w:space="0"/>
              <w:left w:val="single" w:color="auto" w:sz="4" w:space="0"/>
              <w:bottom w:val="single" w:color="auto" w:sz="4" w:space="0"/>
              <w:right w:val="single" w:color="auto" w:sz="4" w:space="0"/>
            </w:tcBorders>
            <w:vAlign w:val="center"/>
          </w:tcPr>
          <w:p w14:paraId="19FA91FF">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t>□</w:t>
            </w:r>
            <w:r>
              <w:rPr>
                <w:rFonts w:hint="eastAsia" w:ascii="宋体" w:hAnsi="宋体" w:cs="宋体"/>
                <w:color w:val="000000"/>
                <w:sz w:val="24"/>
                <w:szCs w:val="24"/>
              </w:rPr>
              <w:t>分析师会议</w:t>
            </w:r>
          </w:p>
          <w:p w14:paraId="3CBFB469">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t>□</w:t>
            </w:r>
            <w:r>
              <w:rPr>
                <w:rFonts w:hint="eastAsia" w:ascii="宋体" w:hAnsi="宋体" w:cs="宋体"/>
                <w:color w:val="000000"/>
                <w:sz w:val="24"/>
                <w:szCs w:val="24"/>
              </w:rPr>
              <w:t>业绩说明会</w:t>
            </w:r>
          </w:p>
          <w:p w14:paraId="2178F2A5">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380156E5">
            <w:pPr>
              <w:tabs>
                <w:tab w:val="left" w:pos="3045"/>
                <w:tab w:val="center" w:pos="3199"/>
              </w:tabs>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r>
              <w:rPr>
                <w:rFonts w:hint="eastAsia" w:ascii="宋体" w:hAnsi="宋体" w:cs="宋体"/>
                <w:bCs/>
                <w:iCs/>
                <w:color w:val="000000"/>
                <w:sz w:val="24"/>
                <w:szCs w:val="24"/>
              </w:rPr>
              <w:tab/>
            </w:r>
          </w:p>
          <w:p w14:paraId="266F5673">
            <w:pPr>
              <w:tabs>
                <w:tab w:val="center" w:pos="3199"/>
              </w:tabs>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5BF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49A5745">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6012D678">
            <w:pPr>
              <w:spacing w:line="360" w:lineRule="auto"/>
              <w:rPr>
                <w:rFonts w:hint="eastAsia" w:ascii="宋体" w:hAnsi="宋体" w:cs="宋体"/>
                <w:bCs/>
                <w:iCs/>
                <w:color w:val="000000"/>
                <w:sz w:val="24"/>
                <w:szCs w:val="24"/>
              </w:rPr>
            </w:pPr>
            <w:bookmarkStart w:id="0" w:name="OLE_LINK1"/>
            <w:r>
              <w:rPr>
                <w:rFonts w:hint="eastAsia" w:ascii="宋体" w:hAnsi="宋体" w:cs="宋体"/>
                <w:bCs/>
                <w:iCs/>
                <w:color w:val="000000"/>
                <w:sz w:val="24"/>
                <w:szCs w:val="24"/>
              </w:rPr>
              <w:t>傅浩玮</w:t>
            </w:r>
            <w:r>
              <w:rPr>
                <w:rFonts w:ascii="宋体" w:hAnsi="宋体" w:cs="宋体"/>
                <w:bCs/>
                <w:iCs/>
                <w:color w:val="000000"/>
                <w:sz w:val="24"/>
                <w:szCs w:val="24"/>
              </w:rPr>
              <w:t xml:space="preserve">  </w:t>
            </w:r>
            <w:r>
              <w:rPr>
                <w:rFonts w:hint="eastAsia" w:ascii="宋体" w:hAnsi="宋体" w:cs="宋体"/>
                <w:bCs/>
                <w:iCs/>
                <w:color w:val="000000"/>
                <w:sz w:val="24"/>
                <w:szCs w:val="24"/>
              </w:rPr>
              <w:t>申万宏源证券研究所</w:t>
            </w:r>
          </w:p>
          <w:p w14:paraId="12E19DE2">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严天鹏</w:t>
            </w:r>
            <w:r>
              <w:rPr>
                <w:rFonts w:ascii="宋体" w:hAnsi="宋体" w:cs="宋体"/>
                <w:bCs/>
                <w:iCs/>
                <w:color w:val="000000"/>
                <w:sz w:val="24"/>
                <w:szCs w:val="24"/>
              </w:rPr>
              <w:t xml:space="preserve">  </w:t>
            </w:r>
            <w:r>
              <w:rPr>
                <w:rFonts w:hint="eastAsia" w:ascii="宋体" w:hAnsi="宋体" w:cs="宋体"/>
                <w:bCs/>
                <w:iCs/>
                <w:color w:val="000000"/>
                <w:sz w:val="24"/>
                <w:szCs w:val="24"/>
              </w:rPr>
              <w:t>申万宏源证券研究所</w:t>
            </w:r>
          </w:p>
          <w:p w14:paraId="14506EAD">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王一成</w:t>
            </w:r>
            <w:r>
              <w:rPr>
                <w:rFonts w:ascii="宋体" w:hAnsi="宋体" w:cs="宋体"/>
                <w:bCs/>
                <w:iCs/>
                <w:color w:val="000000"/>
                <w:sz w:val="24"/>
                <w:szCs w:val="24"/>
              </w:rPr>
              <w:t xml:space="preserve">  </w:t>
            </w:r>
            <w:r>
              <w:rPr>
                <w:rFonts w:hint="eastAsia" w:ascii="宋体" w:hAnsi="宋体" w:cs="宋体"/>
                <w:bCs/>
                <w:iCs/>
                <w:color w:val="000000"/>
                <w:sz w:val="24"/>
                <w:szCs w:val="24"/>
              </w:rPr>
              <w:t>上海天倚道投资管理有限公司</w:t>
            </w:r>
          </w:p>
          <w:p w14:paraId="6CB298CB">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屈玲玉</w:t>
            </w:r>
            <w:r>
              <w:rPr>
                <w:rFonts w:ascii="宋体" w:hAnsi="宋体" w:cs="宋体"/>
                <w:bCs/>
                <w:iCs/>
                <w:color w:val="000000"/>
                <w:sz w:val="24"/>
                <w:szCs w:val="24"/>
              </w:rPr>
              <w:t xml:space="preserve">  </w:t>
            </w:r>
            <w:r>
              <w:rPr>
                <w:rFonts w:hint="eastAsia" w:ascii="宋体" w:hAnsi="宋体" w:cs="宋体"/>
                <w:bCs/>
                <w:iCs/>
                <w:color w:val="000000"/>
                <w:sz w:val="24"/>
                <w:szCs w:val="24"/>
              </w:rPr>
              <w:t>申万宏源证券FICC事业部</w:t>
            </w:r>
          </w:p>
          <w:p w14:paraId="4031E8DC">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杨晓彤</w:t>
            </w:r>
            <w:r>
              <w:rPr>
                <w:rFonts w:ascii="宋体" w:hAnsi="宋体" w:cs="宋体"/>
                <w:bCs/>
                <w:iCs/>
                <w:color w:val="000000"/>
                <w:sz w:val="24"/>
                <w:szCs w:val="24"/>
              </w:rPr>
              <w:t xml:space="preserve">  </w:t>
            </w:r>
            <w:r>
              <w:rPr>
                <w:rFonts w:hint="eastAsia" w:ascii="宋体" w:hAnsi="宋体" w:cs="宋体"/>
                <w:bCs/>
                <w:iCs/>
                <w:color w:val="000000"/>
                <w:sz w:val="24"/>
                <w:szCs w:val="24"/>
              </w:rPr>
              <w:t>申万宏源证券金融创新总部</w:t>
            </w:r>
            <w:bookmarkEnd w:id="0"/>
          </w:p>
        </w:tc>
      </w:tr>
      <w:tr w14:paraId="352F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17F862A">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344AD08D">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2025年12月11日</w:t>
            </w:r>
          </w:p>
        </w:tc>
      </w:tr>
      <w:tr w14:paraId="529D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9BAB038">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0A073C33">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公司15楼会议室</w:t>
            </w:r>
          </w:p>
        </w:tc>
      </w:tr>
      <w:tr w14:paraId="7379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0169C12">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50309965">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副总经理兼董事会秘书王竹青先生</w:t>
            </w:r>
          </w:p>
        </w:tc>
      </w:tr>
      <w:tr w14:paraId="08E0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7FF3508">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vAlign w:val="center"/>
          </w:tcPr>
          <w:p w14:paraId="34A2365E">
            <w:pPr>
              <w:spacing w:line="360" w:lineRule="auto"/>
              <w:rPr>
                <w:rFonts w:hint="eastAsia" w:ascii="宋体" w:hAnsi="宋体" w:cs="宋体"/>
                <w:b/>
                <w:iCs/>
                <w:sz w:val="24"/>
                <w:szCs w:val="24"/>
              </w:rPr>
            </w:pPr>
            <w:r>
              <w:rPr>
                <w:rFonts w:hint="eastAsia" w:ascii="宋体" w:hAnsi="宋体" w:cs="宋体"/>
                <w:b/>
                <w:iCs/>
                <w:sz w:val="24"/>
                <w:szCs w:val="24"/>
              </w:rPr>
              <w:t>问题一：四季度以来煤炭价格有所振荡波动，请问煤价的波动对于公司业绩有何影响？</w:t>
            </w:r>
          </w:p>
          <w:p w14:paraId="158FAD0B">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答：煤炭流通企业通常以同热值煤炭市场价格为基础，综合考虑运输成本、人工成本、筛煤配煤成本等进行销售定价。收入方面，在实物销售量相同的情形下，煤炭销售价格上涨可以增加煤炭流通企业的收入，煤炭销售价格下行会减少煤炭流通企业的收入。利润率方面，当煤炭需求旺盛、价格上升时，行业利润率会有所上升。</w:t>
            </w:r>
            <w:bookmarkStart w:id="5" w:name="_GoBack"/>
            <w:bookmarkEnd w:id="5"/>
          </w:p>
          <w:p w14:paraId="5F8A2F46">
            <w:pPr>
              <w:spacing w:line="360" w:lineRule="auto"/>
              <w:ind w:firstLine="480" w:firstLineChars="200"/>
              <w:rPr>
                <w:rFonts w:hint="eastAsia" w:ascii="宋体" w:hAnsi="宋体" w:cs="宋体"/>
                <w:bCs/>
                <w:iCs/>
                <w:color w:val="000000"/>
                <w:sz w:val="24"/>
                <w:szCs w:val="24"/>
              </w:rPr>
            </w:pPr>
          </w:p>
          <w:p w14:paraId="204F1869">
            <w:pPr>
              <w:spacing w:line="360" w:lineRule="auto"/>
              <w:rPr>
                <w:rFonts w:hint="eastAsia" w:ascii="宋体" w:hAnsi="宋体" w:cs="宋体"/>
                <w:b/>
                <w:iCs/>
                <w:sz w:val="24"/>
                <w:szCs w:val="24"/>
              </w:rPr>
            </w:pPr>
            <w:r>
              <w:rPr>
                <w:rFonts w:hint="eastAsia" w:ascii="宋体" w:hAnsi="宋体" w:cs="宋体"/>
                <w:b/>
                <w:iCs/>
                <w:sz w:val="24"/>
                <w:szCs w:val="24"/>
              </w:rPr>
              <w:t>问题二：目前市面上主流的轮胎回收处理技术污染较大，公司的废旧轮胎裂解技术有什么不同？目前示范项目的情况？</w:t>
            </w:r>
          </w:p>
          <w:p w14:paraId="7ACD9F07">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答：</w:t>
            </w:r>
            <w:bookmarkStart w:id="1" w:name="_Hlk188455299"/>
            <w:r>
              <w:rPr>
                <w:rFonts w:hint="eastAsia" w:ascii="宋体" w:hAnsi="宋体" w:cs="宋体"/>
                <w:bCs/>
                <w:iCs/>
                <w:color w:val="000000"/>
                <w:sz w:val="24"/>
                <w:szCs w:val="24"/>
              </w:rPr>
              <w:t>公司的废轮胎热裂解技术将废轮胎分解为有用的可燃气、再生油和再生炭黑等资源，是国家倡导的废旧资源再利用、循环经济发展的典型技术，具有能耗低、热解产物品质高、自动化程度高、污染物排放少的优点。可在促进废轮胎资源的循环再生利用方面发挥重要作用。</w:t>
            </w:r>
            <w:bookmarkEnd w:id="1"/>
          </w:p>
          <w:p w14:paraId="50E0A09F">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公司建成的“基于燃煤机组耦合的废轮胎橡胶精准高值转化与低碳高效利用”项目年处理规模5,250吨废轮胎（胶粒），该项目依托核心自主知识产权，并与浙江大学深度合作持续迭代创新，目前，该项目已入选浙江省生产制造方式转型示范项目（绿色方向）及第三批减污降碳标杆项目，展现了新质生产力的转化潜力与绿色效益。</w:t>
            </w:r>
          </w:p>
          <w:p w14:paraId="688C2775">
            <w:pPr>
              <w:spacing w:line="360" w:lineRule="auto"/>
              <w:ind w:firstLine="480" w:firstLineChars="200"/>
              <w:rPr>
                <w:rFonts w:hint="eastAsia" w:ascii="宋体" w:hAnsi="宋体" w:cs="宋体"/>
                <w:bCs/>
                <w:iCs/>
                <w:color w:val="000000"/>
                <w:sz w:val="24"/>
                <w:szCs w:val="24"/>
              </w:rPr>
            </w:pPr>
          </w:p>
          <w:p w14:paraId="178C5727">
            <w:pPr>
              <w:spacing w:line="360" w:lineRule="auto"/>
              <w:rPr>
                <w:rFonts w:hint="eastAsia" w:ascii="宋体" w:hAnsi="宋体" w:cs="宋体"/>
                <w:b/>
                <w:iCs/>
                <w:color w:val="000000"/>
                <w:sz w:val="24"/>
                <w:szCs w:val="24"/>
              </w:rPr>
            </w:pPr>
            <w:r>
              <w:rPr>
                <w:rFonts w:hint="eastAsia" w:ascii="宋体" w:hAnsi="宋体" w:cs="宋体"/>
                <w:b/>
                <w:iCs/>
                <w:color w:val="000000"/>
                <w:sz w:val="24"/>
                <w:szCs w:val="24"/>
              </w:rPr>
              <w:t>问题三：目前南太湖项目的并购进展情况？未来热电联产的发展规划如何？是否会有新的项目？</w:t>
            </w:r>
          </w:p>
          <w:p w14:paraId="633071CE">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答：相关项目截至目前尚处于过渡期内，公司将严格按照相关规定，根据后续事项的进展情况，及时履行信息披露义务。</w:t>
            </w:r>
          </w:p>
          <w:p w14:paraId="4A302467">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未来，公司将进一步做精做强热电联产业务</w:t>
            </w:r>
            <w:r>
              <w:rPr>
                <w:rFonts w:hint="eastAsia" w:ascii="宋体" w:hAnsi="宋体" w:cs="宋体"/>
                <w:bCs/>
                <w:iCs/>
                <w:color w:val="000000"/>
                <w:sz w:val="24"/>
                <w:szCs w:val="24"/>
                <w:lang w:eastAsia="zh-CN"/>
              </w:rPr>
              <w:t>：</w:t>
            </w:r>
            <w:r>
              <w:rPr>
                <w:rFonts w:hint="eastAsia" w:ascii="宋体" w:hAnsi="宋体" w:cs="宋体"/>
                <w:bCs/>
                <w:iCs/>
                <w:color w:val="000000"/>
                <w:sz w:val="24"/>
                <w:szCs w:val="24"/>
              </w:rPr>
              <w:t>一是依托热电联产现有区位优势，拓展固废处置、生物质发电等循环经济业务，推动“热电+固废”耦合模式，进一步延伸多能协同服务，打造区域多能联供标杆企业；二是积极拓展外部市场，寻找新的发展机会，进一步提升行业头部优势。</w:t>
            </w:r>
          </w:p>
          <w:p w14:paraId="524DD120">
            <w:pPr>
              <w:spacing w:line="360" w:lineRule="auto"/>
              <w:ind w:firstLine="480" w:firstLineChars="200"/>
              <w:rPr>
                <w:rFonts w:hint="eastAsia" w:ascii="宋体" w:hAnsi="宋体" w:cs="宋体"/>
                <w:bCs/>
                <w:iCs/>
                <w:color w:val="000000"/>
                <w:sz w:val="24"/>
                <w:szCs w:val="24"/>
              </w:rPr>
            </w:pPr>
          </w:p>
          <w:p w14:paraId="49DB3410">
            <w:pPr>
              <w:spacing w:line="360" w:lineRule="auto"/>
              <w:rPr>
                <w:rFonts w:hint="eastAsia" w:ascii="宋体" w:hAnsi="宋体" w:cs="宋体"/>
                <w:b/>
                <w:iCs/>
                <w:color w:val="000000"/>
                <w:sz w:val="24"/>
                <w:szCs w:val="24"/>
              </w:rPr>
            </w:pPr>
            <w:r>
              <w:rPr>
                <w:rFonts w:hint="eastAsia" w:ascii="宋体" w:hAnsi="宋体" w:cs="宋体"/>
                <w:b/>
                <w:iCs/>
                <w:color w:val="000000"/>
                <w:sz w:val="24"/>
                <w:szCs w:val="24"/>
              </w:rPr>
              <w:t>问题四：</w:t>
            </w:r>
            <w:bookmarkStart w:id="2" w:name="OLE_LINK3"/>
            <w:r>
              <w:rPr>
                <w:rFonts w:hint="eastAsia" w:ascii="宋体" w:hAnsi="宋体" w:cs="宋体"/>
                <w:b/>
                <w:iCs/>
                <w:color w:val="000000"/>
                <w:sz w:val="24"/>
                <w:szCs w:val="24"/>
              </w:rPr>
              <w:t>公司熔盐储热示范项目的进展、该项目的热转化率为多少？</w:t>
            </w:r>
            <w:bookmarkEnd w:id="2"/>
          </w:p>
          <w:p w14:paraId="796938A1">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答：</w:t>
            </w:r>
            <w:bookmarkStart w:id="3" w:name="_Hlk189835906"/>
            <w:r>
              <w:rPr>
                <w:rFonts w:hint="eastAsia" w:ascii="宋体" w:hAnsi="宋体" w:cs="宋体"/>
                <w:bCs/>
                <w:iCs/>
                <w:color w:val="000000"/>
                <w:sz w:val="24"/>
                <w:szCs w:val="24"/>
              </w:rPr>
              <w:t>公司的熔盐储能技术具有长时耐用（熔盐储能设计储能时长10h，作为储能电站寿命长达20年以上）、安全环保、应用广泛、储能规模灵活、高电压大功率感应加热及智慧管控等优势。未来可在光热发电配储、火电机组灵活性改造、工业余热回收、区域清洁供暖等领域具有广泛的应用前景。目前公司基于混合储能的多能耦合智慧低碳供能示范项目已完成安装施工，项目整体预计在2025年年底投入试运行。</w:t>
            </w:r>
          </w:p>
          <w:p w14:paraId="6B8B1B90">
            <w:pPr>
              <w:spacing w:line="360" w:lineRule="auto"/>
              <w:ind w:firstLine="480" w:firstLineChars="200"/>
              <w:rPr>
                <w:rFonts w:hint="eastAsia" w:ascii="宋体" w:hAnsi="宋体" w:cs="宋体"/>
                <w:bCs/>
                <w:iCs/>
                <w:color w:val="000000"/>
                <w:sz w:val="24"/>
                <w:szCs w:val="24"/>
              </w:rPr>
            </w:pPr>
            <w:r>
              <w:rPr>
                <w:rFonts w:ascii="宋体" w:hAnsi="宋体" w:cs="宋体"/>
                <w:bCs/>
                <w:iCs/>
                <w:color w:val="000000"/>
                <w:sz w:val="24"/>
                <w:szCs w:val="24"/>
              </w:rPr>
              <w:t>熔盐储热系统的转化率受多种因素影响，包括熔盐类型、系统设计、运行温度范围等</w:t>
            </w:r>
            <w:r>
              <w:rPr>
                <w:rFonts w:hint="eastAsia" w:ascii="宋体" w:hAnsi="宋体" w:cs="宋体"/>
                <w:bCs/>
                <w:iCs/>
                <w:color w:val="000000"/>
                <w:sz w:val="24"/>
                <w:szCs w:val="24"/>
              </w:rPr>
              <w:t>，公司熔盐储热示范项目预计热转化率可达90%以上。</w:t>
            </w:r>
          </w:p>
          <w:bookmarkEnd w:id="3"/>
          <w:p w14:paraId="1BC5C0A5">
            <w:pPr>
              <w:spacing w:line="360" w:lineRule="auto"/>
              <w:ind w:firstLine="480" w:firstLineChars="200"/>
              <w:rPr>
                <w:rFonts w:hint="eastAsia" w:ascii="宋体" w:hAnsi="宋体" w:cs="宋体"/>
                <w:bCs/>
                <w:iCs/>
                <w:color w:val="000000"/>
                <w:sz w:val="24"/>
                <w:szCs w:val="24"/>
              </w:rPr>
            </w:pPr>
          </w:p>
          <w:p w14:paraId="37D28F5A">
            <w:pPr>
              <w:spacing w:line="360" w:lineRule="auto"/>
              <w:rPr>
                <w:rFonts w:hint="eastAsia" w:ascii="宋体" w:hAnsi="宋体" w:cs="宋体"/>
                <w:b/>
                <w:iCs/>
                <w:color w:val="000000"/>
                <w:sz w:val="24"/>
                <w:szCs w:val="24"/>
              </w:rPr>
            </w:pPr>
            <w:bookmarkStart w:id="4" w:name="OLE_LINK2"/>
            <w:r>
              <w:rPr>
                <w:rFonts w:hint="eastAsia" w:ascii="宋体" w:hAnsi="宋体" w:cs="宋体"/>
                <w:b/>
                <w:iCs/>
                <w:color w:val="000000"/>
                <w:sz w:val="24"/>
                <w:szCs w:val="24"/>
              </w:rPr>
              <w:t>问题五：公司在分红率这块是否有可能进一步提升？</w:t>
            </w:r>
          </w:p>
          <w:p w14:paraId="3D7948A6">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答：自公司2021年上市以来，公司每年持续稳定现金分红，较好地践行了高质量发展回报投资者的理念。2024年度公司每10股派发6元（含税），现金分红比例提升至45.32%，派发现金股利3.35亿元。公司上市后累计现金分红已达15.06亿元，占募集资金净额比例达101.23%。2025－2026年度公司每年度拟分配的现金分红总额不低于归属于上市公司股东的扣除非经常性损益的净利润的40%。</w:t>
            </w:r>
            <w:bookmarkEnd w:id="4"/>
          </w:p>
          <w:p w14:paraId="1921867C">
            <w:pPr>
              <w:spacing w:line="360" w:lineRule="auto"/>
              <w:ind w:firstLine="480" w:firstLineChars="200"/>
              <w:rPr>
                <w:rFonts w:hint="eastAsia" w:ascii="宋体" w:hAnsi="宋体" w:cs="宋体"/>
                <w:bCs/>
                <w:iCs/>
                <w:color w:val="000000"/>
                <w:sz w:val="24"/>
                <w:szCs w:val="24"/>
              </w:rPr>
            </w:pPr>
          </w:p>
          <w:p w14:paraId="79DF3391">
            <w:pPr>
              <w:spacing w:line="360" w:lineRule="auto"/>
              <w:rPr>
                <w:rFonts w:hint="eastAsia" w:ascii="宋体" w:hAnsi="宋体" w:cs="宋体"/>
                <w:b/>
                <w:iCs/>
                <w:color w:val="000000"/>
                <w:sz w:val="24"/>
                <w:szCs w:val="24"/>
              </w:rPr>
            </w:pPr>
            <w:r>
              <w:rPr>
                <w:rFonts w:hint="eastAsia" w:ascii="宋体" w:hAnsi="宋体" w:cs="宋体"/>
                <w:b/>
                <w:iCs/>
                <w:color w:val="000000"/>
                <w:sz w:val="24"/>
                <w:szCs w:val="24"/>
              </w:rPr>
              <w:t>问题六：公司新能源板块的业务规划？</w:t>
            </w:r>
          </w:p>
          <w:p w14:paraId="105786EF">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答：在新能源业务方面，公司将继续</w:t>
            </w:r>
            <w:r>
              <w:rPr>
                <w:rFonts w:ascii="宋体" w:hAnsi="宋体" w:cs="宋体"/>
                <w:bCs/>
                <w:iCs/>
                <w:color w:val="000000"/>
                <w:sz w:val="24"/>
                <w:szCs w:val="24"/>
              </w:rPr>
              <w:t>聚焦开拓储能、光伏、风电等新能源业务，依托核心技术大力开展熔盐储能的推广和应用，围绕新能源产业链布局上游集成制造、中游投资建设运营以及下游回收拆解等业务，配套提供新能源</w:t>
            </w:r>
            <w:r>
              <w:rPr>
                <w:rFonts w:hint="eastAsia" w:ascii="宋体" w:hAnsi="宋体" w:cs="宋体"/>
                <w:bCs/>
                <w:iCs/>
                <w:color w:val="000000"/>
                <w:sz w:val="24"/>
                <w:szCs w:val="24"/>
              </w:rPr>
              <w:t>设备制造销售</w:t>
            </w:r>
            <w:r>
              <w:rPr>
                <w:rFonts w:ascii="宋体" w:hAnsi="宋体" w:cs="宋体"/>
                <w:bCs/>
                <w:iCs/>
                <w:color w:val="000000"/>
                <w:sz w:val="24"/>
                <w:szCs w:val="24"/>
              </w:rPr>
              <w:t>、EPC工程服务，持续增强产业转型内生动力</w:t>
            </w:r>
            <w:r>
              <w:rPr>
                <w:rFonts w:hint="eastAsia" w:ascii="宋体" w:hAnsi="宋体" w:cs="宋体"/>
                <w:bCs/>
                <w:iCs/>
                <w:color w:val="000000"/>
                <w:sz w:val="24"/>
                <w:szCs w:val="24"/>
              </w:rPr>
              <w:t>。</w:t>
            </w:r>
          </w:p>
        </w:tc>
      </w:tr>
      <w:tr w14:paraId="26BC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DA2D261">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vAlign w:val="center"/>
          </w:tcPr>
          <w:p w14:paraId="0A6D860B">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无</w:t>
            </w:r>
          </w:p>
        </w:tc>
      </w:tr>
      <w:tr w14:paraId="53AB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757B48B">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日期</w:t>
            </w:r>
          </w:p>
        </w:tc>
        <w:tc>
          <w:tcPr>
            <w:tcW w:w="6614" w:type="dxa"/>
            <w:tcBorders>
              <w:top w:val="single" w:color="auto" w:sz="4" w:space="0"/>
              <w:left w:val="single" w:color="auto" w:sz="4" w:space="0"/>
              <w:bottom w:val="single" w:color="auto" w:sz="4" w:space="0"/>
              <w:right w:val="single" w:color="auto" w:sz="4" w:space="0"/>
            </w:tcBorders>
            <w:vAlign w:val="center"/>
          </w:tcPr>
          <w:p w14:paraId="1AB6035A">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2025年12月11日</w:t>
            </w:r>
          </w:p>
        </w:tc>
      </w:tr>
    </w:tbl>
    <w:p w14:paraId="6F79B643">
      <w:pPr>
        <w:spacing w:line="360" w:lineRule="auto"/>
        <w:rPr>
          <w:rFonts w:hint="eastAsia" w:ascii="宋体" w:hAnsi="宋体" w:cs="宋体"/>
          <w:bCs/>
          <w:iCs/>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YjY0NTVkMDY5Y2Y2NzUzYmMzOGQ2YjU5NzYxNmQifQ=="/>
    <w:docVar w:name="KSO_WPS_MARK_KEY" w:val="2a5ba456-d3ac-4942-9e03-5f3fdf703e42"/>
  </w:docVars>
  <w:rsids>
    <w:rsidRoot w:val="00AF3429"/>
    <w:rsid w:val="00005924"/>
    <w:rsid w:val="00007A50"/>
    <w:rsid w:val="00010C56"/>
    <w:rsid w:val="000139A6"/>
    <w:rsid w:val="00021F66"/>
    <w:rsid w:val="0002594D"/>
    <w:rsid w:val="00025E18"/>
    <w:rsid w:val="0003322B"/>
    <w:rsid w:val="00035217"/>
    <w:rsid w:val="0003717A"/>
    <w:rsid w:val="000404BB"/>
    <w:rsid w:val="00040F83"/>
    <w:rsid w:val="000621DB"/>
    <w:rsid w:val="000656B2"/>
    <w:rsid w:val="0008028F"/>
    <w:rsid w:val="00085996"/>
    <w:rsid w:val="000945F5"/>
    <w:rsid w:val="000A410E"/>
    <w:rsid w:val="000B7A11"/>
    <w:rsid w:val="000C0FD8"/>
    <w:rsid w:val="000D46A1"/>
    <w:rsid w:val="000D47B2"/>
    <w:rsid w:val="000D7785"/>
    <w:rsid w:val="000E09EF"/>
    <w:rsid w:val="000E4E11"/>
    <w:rsid w:val="000E709A"/>
    <w:rsid w:val="000F1878"/>
    <w:rsid w:val="0010138D"/>
    <w:rsid w:val="001043EE"/>
    <w:rsid w:val="00114496"/>
    <w:rsid w:val="00116BED"/>
    <w:rsid w:val="00116FFB"/>
    <w:rsid w:val="00120132"/>
    <w:rsid w:val="001219DD"/>
    <w:rsid w:val="00122901"/>
    <w:rsid w:val="00127796"/>
    <w:rsid w:val="00134A52"/>
    <w:rsid w:val="00140DFC"/>
    <w:rsid w:val="00152EAA"/>
    <w:rsid w:val="001543D3"/>
    <w:rsid w:val="00170747"/>
    <w:rsid w:val="001713D0"/>
    <w:rsid w:val="001716B7"/>
    <w:rsid w:val="001739D2"/>
    <w:rsid w:val="00186094"/>
    <w:rsid w:val="001968D2"/>
    <w:rsid w:val="001A1C90"/>
    <w:rsid w:val="001A3204"/>
    <w:rsid w:val="001B1946"/>
    <w:rsid w:val="001B2DD9"/>
    <w:rsid w:val="001C6825"/>
    <w:rsid w:val="001D10E0"/>
    <w:rsid w:val="001D39F4"/>
    <w:rsid w:val="001F107A"/>
    <w:rsid w:val="001F1226"/>
    <w:rsid w:val="00201A4C"/>
    <w:rsid w:val="002047DC"/>
    <w:rsid w:val="002156E4"/>
    <w:rsid w:val="00224337"/>
    <w:rsid w:val="00226C55"/>
    <w:rsid w:val="00240FE8"/>
    <w:rsid w:val="002411D3"/>
    <w:rsid w:val="00242CA3"/>
    <w:rsid w:val="00250D96"/>
    <w:rsid w:val="00261267"/>
    <w:rsid w:val="00265973"/>
    <w:rsid w:val="00266598"/>
    <w:rsid w:val="002706C3"/>
    <w:rsid w:val="00271350"/>
    <w:rsid w:val="0027154B"/>
    <w:rsid w:val="00274DB4"/>
    <w:rsid w:val="0028039B"/>
    <w:rsid w:val="0028409B"/>
    <w:rsid w:val="002906CB"/>
    <w:rsid w:val="002953E1"/>
    <w:rsid w:val="002959B3"/>
    <w:rsid w:val="002A5AAE"/>
    <w:rsid w:val="002C784E"/>
    <w:rsid w:val="002C7AE2"/>
    <w:rsid w:val="002D0312"/>
    <w:rsid w:val="002D12B1"/>
    <w:rsid w:val="002D418E"/>
    <w:rsid w:val="002E0B17"/>
    <w:rsid w:val="002E749B"/>
    <w:rsid w:val="002F2147"/>
    <w:rsid w:val="002F26B0"/>
    <w:rsid w:val="003106D2"/>
    <w:rsid w:val="0031669F"/>
    <w:rsid w:val="00340151"/>
    <w:rsid w:val="00340881"/>
    <w:rsid w:val="00362FA3"/>
    <w:rsid w:val="00364828"/>
    <w:rsid w:val="00366D7E"/>
    <w:rsid w:val="003757FF"/>
    <w:rsid w:val="0037597E"/>
    <w:rsid w:val="003805B6"/>
    <w:rsid w:val="00392721"/>
    <w:rsid w:val="00396D87"/>
    <w:rsid w:val="003A3F47"/>
    <w:rsid w:val="003B0B08"/>
    <w:rsid w:val="003B23CC"/>
    <w:rsid w:val="003B29D5"/>
    <w:rsid w:val="003B44BD"/>
    <w:rsid w:val="003C072C"/>
    <w:rsid w:val="003C2AD7"/>
    <w:rsid w:val="003C51D7"/>
    <w:rsid w:val="003D1B13"/>
    <w:rsid w:val="003D7A91"/>
    <w:rsid w:val="003E64D0"/>
    <w:rsid w:val="003E6967"/>
    <w:rsid w:val="003E7144"/>
    <w:rsid w:val="003F0609"/>
    <w:rsid w:val="003F0D82"/>
    <w:rsid w:val="003F6691"/>
    <w:rsid w:val="003F7CF1"/>
    <w:rsid w:val="004073CF"/>
    <w:rsid w:val="00411764"/>
    <w:rsid w:val="00411F8C"/>
    <w:rsid w:val="0041415B"/>
    <w:rsid w:val="00417F7B"/>
    <w:rsid w:val="00420996"/>
    <w:rsid w:val="00434E9F"/>
    <w:rsid w:val="004546B8"/>
    <w:rsid w:val="00461B8C"/>
    <w:rsid w:val="00462034"/>
    <w:rsid w:val="0046463F"/>
    <w:rsid w:val="004742D2"/>
    <w:rsid w:val="004754F1"/>
    <w:rsid w:val="00477B30"/>
    <w:rsid w:val="004913C2"/>
    <w:rsid w:val="0049734C"/>
    <w:rsid w:val="004A0D5E"/>
    <w:rsid w:val="004A3C5F"/>
    <w:rsid w:val="004C5CA2"/>
    <w:rsid w:val="004D0531"/>
    <w:rsid w:val="004E20DE"/>
    <w:rsid w:val="004E471D"/>
    <w:rsid w:val="0051191D"/>
    <w:rsid w:val="00511A1C"/>
    <w:rsid w:val="00512958"/>
    <w:rsid w:val="0052022A"/>
    <w:rsid w:val="00521420"/>
    <w:rsid w:val="005243B2"/>
    <w:rsid w:val="005268C9"/>
    <w:rsid w:val="00526CA3"/>
    <w:rsid w:val="00526F12"/>
    <w:rsid w:val="005360E2"/>
    <w:rsid w:val="00536D02"/>
    <w:rsid w:val="005717BF"/>
    <w:rsid w:val="00574228"/>
    <w:rsid w:val="005765DA"/>
    <w:rsid w:val="00576815"/>
    <w:rsid w:val="00583E13"/>
    <w:rsid w:val="00591EDB"/>
    <w:rsid w:val="00593DB8"/>
    <w:rsid w:val="005966F0"/>
    <w:rsid w:val="005B1D43"/>
    <w:rsid w:val="005B340D"/>
    <w:rsid w:val="005B7B08"/>
    <w:rsid w:val="005C26EE"/>
    <w:rsid w:val="005D0592"/>
    <w:rsid w:val="005D268C"/>
    <w:rsid w:val="005D7B93"/>
    <w:rsid w:val="005E6189"/>
    <w:rsid w:val="005F45C1"/>
    <w:rsid w:val="0060090F"/>
    <w:rsid w:val="006241BB"/>
    <w:rsid w:val="00626EB7"/>
    <w:rsid w:val="0063544F"/>
    <w:rsid w:val="00642ACB"/>
    <w:rsid w:val="0064304A"/>
    <w:rsid w:val="00650767"/>
    <w:rsid w:val="00651C94"/>
    <w:rsid w:val="006525F6"/>
    <w:rsid w:val="006569E8"/>
    <w:rsid w:val="00665AC7"/>
    <w:rsid w:val="00695F25"/>
    <w:rsid w:val="006A0841"/>
    <w:rsid w:val="006A534A"/>
    <w:rsid w:val="006B07E1"/>
    <w:rsid w:val="006C3837"/>
    <w:rsid w:val="006C4E3E"/>
    <w:rsid w:val="006C7C59"/>
    <w:rsid w:val="006D21BA"/>
    <w:rsid w:val="006D7AF2"/>
    <w:rsid w:val="00701151"/>
    <w:rsid w:val="00704F16"/>
    <w:rsid w:val="0071652D"/>
    <w:rsid w:val="00724276"/>
    <w:rsid w:val="00737C9E"/>
    <w:rsid w:val="0074090E"/>
    <w:rsid w:val="007457C3"/>
    <w:rsid w:val="00747ABB"/>
    <w:rsid w:val="0075496E"/>
    <w:rsid w:val="00755EB4"/>
    <w:rsid w:val="00755FA5"/>
    <w:rsid w:val="0076098E"/>
    <w:rsid w:val="00761137"/>
    <w:rsid w:val="00762936"/>
    <w:rsid w:val="007671F9"/>
    <w:rsid w:val="00773EB3"/>
    <w:rsid w:val="00777B2A"/>
    <w:rsid w:val="007816D3"/>
    <w:rsid w:val="00785705"/>
    <w:rsid w:val="00791553"/>
    <w:rsid w:val="00797B17"/>
    <w:rsid w:val="00797D8C"/>
    <w:rsid w:val="007A6BF5"/>
    <w:rsid w:val="007B0C3F"/>
    <w:rsid w:val="007B2CA9"/>
    <w:rsid w:val="007B7A3D"/>
    <w:rsid w:val="007D04C4"/>
    <w:rsid w:val="007D558E"/>
    <w:rsid w:val="007E0748"/>
    <w:rsid w:val="007E242D"/>
    <w:rsid w:val="007E300A"/>
    <w:rsid w:val="007E34EF"/>
    <w:rsid w:val="007E37D7"/>
    <w:rsid w:val="008023F6"/>
    <w:rsid w:val="0080652E"/>
    <w:rsid w:val="00811149"/>
    <w:rsid w:val="008122AD"/>
    <w:rsid w:val="00831386"/>
    <w:rsid w:val="0087281D"/>
    <w:rsid w:val="00873E5F"/>
    <w:rsid w:val="00874ED5"/>
    <w:rsid w:val="00882379"/>
    <w:rsid w:val="008841C3"/>
    <w:rsid w:val="00885FA0"/>
    <w:rsid w:val="008959B0"/>
    <w:rsid w:val="008D60B9"/>
    <w:rsid w:val="008E4BF5"/>
    <w:rsid w:val="008F73B0"/>
    <w:rsid w:val="0090100B"/>
    <w:rsid w:val="00902588"/>
    <w:rsid w:val="00911DC5"/>
    <w:rsid w:val="00924527"/>
    <w:rsid w:val="00924C7A"/>
    <w:rsid w:val="00924DCE"/>
    <w:rsid w:val="00930A16"/>
    <w:rsid w:val="00935D7F"/>
    <w:rsid w:val="00940EF4"/>
    <w:rsid w:val="00945881"/>
    <w:rsid w:val="00963525"/>
    <w:rsid w:val="00963E9E"/>
    <w:rsid w:val="00970595"/>
    <w:rsid w:val="009724C7"/>
    <w:rsid w:val="009762A8"/>
    <w:rsid w:val="00990043"/>
    <w:rsid w:val="0099172E"/>
    <w:rsid w:val="009967C2"/>
    <w:rsid w:val="009A2E1A"/>
    <w:rsid w:val="009A39E6"/>
    <w:rsid w:val="009A6802"/>
    <w:rsid w:val="009B5865"/>
    <w:rsid w:val="009B61B4"/>
    <w:rsid w:val="009B6291"/>
    <w:rsid w:val="009B6513"/>
    <w:rsid w:val="009C2569"/>
    <w:rsid w:val="009D14B6"/>
    <w:rsid w:val="009D2FAE"/>
    <w:rsid w:val="009D4BDE"/>
    <w:rsid w:val="009E1579"/>
    <w:rsid w:val="009E1DA2"/>
    <w:rsid w:val="009E41A3"/>
    <w:rsid w:val="009F2245"/>
    <w:rsid w:val="009F2442"/>
    <w:rsid w:val="00A11CD0"/>
    <w:rsid w:val="00A15C69"/>
    <w:rsid w:val="00A21C7E"/>
    <w:rsid w:val="00A31646"/>
    <w:rsid w:val="00A35543"/>
    <w:rsid w:val="00A35BC0"/>
    <w:rsid w:val="00A36574"/>
    <w:rsid w:val="00A423C5"/>
    <w:rsid w:val="00A4240C"/>
    <w:rsid w:val="00A448D3"/>
    <w:rsid w:val="00A53FF5"/>
    <w:rsid w:val="00A546FC"/>
    <w:rsid w:val="00A55289"/>
    <w:rsid w:val="00A611F1"/>
    <w:rsid w:val="00A6351A"/>
    <w:rsid w:val="00A84A4A"/>
    <w:rsid w:val="00A865E8"/>
    <w:rsid w:val="00A92722"/>
    <w:rsid w:val="00A9594E"/>
    <w:rsid w:val="00AA1236"/>
    <w:rsid w:val="00AA1820"/>
    <w:rsid w:val="00AA2FEA"/>
    <w:rsid w:val="00AB3C99"/>
    <w:rsid w:val="00AB4E21"/>
    <w:rsid w:val="00AB5BEF"/>
    <w:rsid w:val="00AC35A9"/>
    <w:rsid w:val="00AD1553"/>
    <w:rsid w:val="00AE5E2B"/>
    <w:rsid w:val="00AF0652"/>
    <w:rsid w:val="00AF3429"/>
    <w:rsid w:val="00AF55A2"/>
    <w:rsid w:val="00AF7C4D"/>
    <w:rsid w:val="00B0103F"/>
    <w:rsid w:val="00B100F3"/>
    <w:rsid w:val="00B226EB"/>
    <w:rsid w:val="00B26897"/>
    <w:rsid w:val="00B42D09"/>
    <w:rsid w:val="00B53AAC"/>
    <w:rsid w:val="00B56FF7"/>
    <w:rsid w:val="00B64FAB"/>
    <w:rsid w:val="00B66010"/>
    <w:rsid w:val="00B8593E"/>
    <w:rsid w:val="00B9659B"/>
    <w:rsid w:val="00BB13AD"/>
    <w:rsid w:val="00BB5C15"/>
    <w:rsid w:val="00BC2617"/>
    <w:rsid w:val="00BD2874"/>
    <w:rsid w:val="00BD2BDE"/>
    <w:rsid w:val="00BD2D52"/>
    <w:rsid w:val="00BD3DD5"/>
    <w:rsid w:val="00BD5584"/>
    <w:rsid w:val="00BE10A9"/>
    <w:rsid w:val="00BE559F"/>
    <w:rsid w:val="00C05FD3"/>
    <w:rsid w:val="00C1153D"/>
    <w:rsid w:val="00C115E2"/>
    <w:rsid w:val="00C12E19"/>
    <w:rsid w:val="00C16A9E"/>
    <w:rsid w:val="00C225E2"/>
    <w:rsid w:val="00C23E87"/>
    <w:rsid w:val="00C24629"/>
    <w:rsid w:val="00C252CD"/>
    <w:rsid w:val="00C26992"/>
    <w:rsid w:val="00C31C5C"/>
    <w:rsid w:val="00C3463A"/>
    <w:rsid w:val="00C5688B"/>
    <w:rsid w:val="00C56916"/>
    <w:rsid w:val="00C70572"/>
    <w:rsid w:val="00C7572C"/>
    <w:rsid w:val="00C77ECF"/>
    <w:rsid w:val="00C86EDD"/>
    <w:rsid w:val="00CA0C8E"/>
    <w:rsid w:val="00CA5C44"/>
    <w:rsid w:val="00CA5F26"/>
    <w:rsid w:val="00CA7C3A"/>
    <w:rsid w:val="00CB394E"/>
    <w:rsid w:val="00CB75B6"/>
    <w:rsid w:val="00CC42B9"/>
    <w:rsid w:val="00CD5FB0"/>
    <w:rsid w:val="00CD732A"/>
    <w:rsid w:val="00CD7948"/>
    <w:rsid w:val="00CF1E5A"/>
    <w:rsid w:val="00CF55A6"/>
    <w:rsid w:val="00D00630"/>
    <w:rsid w:val="00D01DD9"/>
    <w:rsid w:val="00D03AB8"/>
    <w:rsid w:val="00D1093B"/>
    <w:rsid w:val="00D15ADF"/>
    <w:rsid w:val="00D24F2B"/>
    <w:rsid w:val="00D367C0"/>
    <w:rsid w:val="00D370A0"/>
    <w:rsid w:val="00D42F2E"/>
    <w:rsid w:val="00D45D4E"/>
    <w:rsid w:val="00D50256"/>
    <w:rsid w:val="00D5108A"/>
    <w:rsid w:val="00D55C40"/>
    <w:rsid w:val="00D61F7C"/>
    <w:rsid w:val="00D64F81"/>
    <w:rsid w:val="00D66408"/>
    <w:rsid w:val="00D72205"/>
    <w:rsid w:val="00D73E48"/>
    <w:rsid w:val="00D80076"/>
    <w:rsid w:val="00D808C6"/>
    <w:rsid w:val="00D819EC"/>
    <w:rsid w:val="00D87A2C"/>
    <w:rsid w:val="00D91B0E"/>
    <w:rsid w:val="00D93A1D"/>
    <w:rsid w:val="00DA4278"/>
    <w:rsid w:val="00DA5F65"/>
    <w:rsid w:val="00DB2CC6"/>
    <w:rsid w:val="00DC231E"/>
    <w:rsid w:val="00DC4487"/>
    <w:rsid w:val="00DC509C"/>
    <w:rsid w:val="00DC5B73"/>
    <w:rsid w:val="00DD618A"/>
    <w:rsid w:val="00DE234F"/>
    <w:rsid w:val="00DF13A0"/>
    <w:rsid w:val="00DF3420"/>
    <w:rsid w:val="00E01B83"/>
    <w:rsid w:val="00E0249E"/>
    <w:rsid w:val="00E1024C"/>
    <w:rsid w:val="00E11E52"/>
    <w:rsid w:val="00E1717A"/>
    <w:rsid w:val="00E171C4"/>
    <w:rsid w:val="00E2026E"/>
    <w:rsid w:val="00E2105B"/>
    <w:rsid w:val="00E239C8"/>
    <w:rsid w:val="00E2727F"/>
    <w:rsid w:val="00E30CB0"/>
    <w:rsid w:val="00E36D6B"/>
    <w:rsid w:val="00E44983"/>
    <w:rsid w:val="00E44EC2"/>
    <w:rsid w:val="00E462B7"/>
    <w:rsid w:val="00E57415"/>
    <w:rsid w:val="00E601B7"/>
    <w:rsid w:val="00E71EE8"/>
    <w:rsid w:val="00E77B07"/>
    <w:rsid w:val="00E87C87"/>
    <w:rsid w:val="00E90D8E"/>
    <w:rsid w:val="00E97187"/>
    <w:rsid w:val="00EA5E22"/>
    <w:rsid w:val="00EA63A8"/>
    <w:rsid w:val="00EB315B"/>
    <w:rsid w:val="00EB5069"/>
    <w:rsid w:val="00EC1A74"/>
    <w:rsid w:val="00EC22D1"/>
    <w:rsid w:val="00ED082C"/>
    <w:rsid w:val="00ED30CD"/>
    <w:rsid w:val="00ED3B8F"/>
    <w:rsid w:val="00ED74F9"/>
    <w:rsid w:val="00EE746A"/>
    <w:rsid w:val="00F002F7"/>
    <w:rsid w:val="00F024B6"/>
    <w:rsid w:val="00F03A27"/>
    <w:rsid w:val="00F0526B"/>
    <w:rsid w:val="00F0600F"/>
    <w:rsid w:val="00F074D1"/>
    <w:rsid w:val="00F10B5C"/>
    <w:rsid w:val="00F16ABF"/>
    <w:rsid w:val="00F21438"/>
    <w:rsid w:val="00F30674"/>
    <w:rsid w:val="00F424BE"/>
    <w:rsid w:val="00F43F4F"/>
    <w:rsid w:val="00F50358"/>
    <w:rsid w:val="00F576AE"/>
    <w:rsid w:val="00F66552"/>
    <w:rsid w:val="00F66C45"/>
    <w:rsid w:val="00F70917"/>
    <w:rsid w:val="00F7157E"/>
    <w:rsid w:val="00F733B8"/>
    <w:rsid w:val="00F739C6"/>
    <w:rsid w:val="00F81B99"/>
    <w:rsid w:val="00F85A24"/>
    <w:rsid w:val="00F85EDC"/>
    <w:rsid w:val="00F957E2"/>
    <w:rsid w:val="00FA3F09"/>
    <w:rsid w:val="00FB1304"/>
    <w:rsid w:val="00FB3C37"/>
    <w:rsid w:val="00FB5ACE"/>
    <w:rsid w:val="00FB6017"/>
    <w:rsid w:val="00FC69CF"/>
    <w:rsid w:val="00FD205D"/>
    <w:rsid w:val="00FD406A"/>
    <w:rsid w:val="00FD7DB1"/>
    <w:rsid w:val="00FE4333"/>
    <w:rsid w:val="00FE48B7"/>
    <w:rsid w:val="00FE59B9"/>
    <w:rsid w:val="00FF249B"/>
    <w:rsid w:val="00FF402F"/>
    <w:rsid w:val="00FF644B"/>
    <w:rsid w:val="09C2174E"/>
    <w:rsid w:val="17AE4A2D"/>
    <w:rsid w:val="1CAD0994"/>
    <w:rsid w:val="452026A5"/>
    <w:rsid w:val="474F7746"/>
    <w:rsid w:val="5910757D"/>
    <w:rsid w:val="6EA51611"/>
    <w:rsid w:val="72B60C0F"/>
    <w:rsid w:val="7617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360" w:lineRule="auto"/>
      <w:jc w:val="center"/>
      <w:outlineLvl w:val="0"/>
    </w:pPr>
    <w:rPr>
      <w:b/>
      <w:kern w:val="44"/>
      <w:sz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unhideWhenUsed/>
    <w:qFormat/>
    <w:uiPriority w:val="0"/>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tabs>
        <w:tab w:val="center" w:pos="4153"/>
        <w:tab w:val="right" w:pos="8306"/>
      </w:tabs>
      <w:snapToGrid w:val="0"/>
      <w:jc w:val="center"/>
    </w:pPr>
    <w:rPr>
      <w:sz w:val="18"/>
      <w:szCs w:val="18"/>
    </w:rPr>
  </w:style>
  <w:style w:type="paragraph" w:styleId="8">
    <w:name w:val="annotation subject"/>
    <w:basedOn w:val="4"/>
    <w:next w:val="4"/>
    <w:link w:val="15"/>
    <w:semiHidden/>
    <w:unhideWhenUsed/>
    <w:qFormat/>
    <w:uiPriority w:val="99"/>
    <w:rPr>
      <w:b/>
      <w:bCs/>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99"/>
    <w:pPr>
      <w:ind w:firstLine="420" w:firstLineChars="200"/>
    </w:pPr>
  </w:style>
  <w:style w:type="character" w:customStyle="1" w:styleId="14">
    <w:name w:val="批注文字 字符"/>
    <w:basedOn w:val="10"/>
    <w:link w:val="4"/>
    <w:qFormat/>
    <w:uiPriority w:val="0"/>
    <w:rPr>
      <w:kern w:val="2"/>
      <w:sz w:val="21"/>
      <w:szCs w:val="22"/>
    </w:rPr>
  </w:style>
  <w:style w:type="character" w:customStyle="1" w:styleId="15">
    <w:name w:val="批注主题 字符"/>
    <w:basedOn w:val="14"/>
    <w:link w:val="8"/>
    <w:semiHidden/>
    <w:qFormat/>
    <w:uiPriority w:val="99"/>
    <w:rPr>
      <w:b/>
      <w:bCs/>
      <w:kern w:val="2"/>
      <w:sz w:val="21"/>
      <w:szCs w:val="22"/>
    </w:rPr>
  </w:style>
  <w:style w:type="character" w:customStyle="1" w:styleId="16">
    <w:name w:val="批注框文本 字符"/>
    <w:basedOn w:val="10"/>
    <w:link w:val="5"/>
    <w:semiHidden/>
    <w:qFormat/>
    <w:uiPriority w:val="99"/>
    <w:rPr>
      <w:kern w:val="2"/>
      <w:sz w:val="18"/>
      <w:szCs w:val="18"/>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8">
    <w:name w:val="修订2"/>
    <w:hidden/>
    <w:unhideWhenUsed/>
    <w:qFormat/>
    <w:uiPriority w:val="99"/>
    <w:rPr>
      <w:rFonts w:ascii="Calibri" w:hAnsi="Calibri" w:eastAsia="宋体" w:cs="Times New Roman"/>
      <w:kern w:val="2"/>
      <w:sz w:val="21"/>
      <w:szCs w:val="22"/>
      <w:lang w:val="en-US" w:eastAsia="zh-CN" w:bidi="ar-SA"/>
    </w:rPr>
  </w:style>
  <w:style w:type="character" w:customStyle="1" w:styleId="19">
    <w:name w:val="页眉 字符"/>
    <w:basedOn w:val="10"/>
    <w:link w:val="7"/>
    <w:qFormat/>
    <w:uiPriority w:val="99"/>
    <w:rPr>
      <w:kern w:val="2"/>
      <w:sz w:val="18"/>
      <w:szCs w:val="18"/>
    </w:rPr>
  </w:style>
  <w:style w:type="character" w:customStyle="1" w:styleId="20">
    <w:name w:val="页脚 字符"/>
    <w:basedOn w:val="10"/>
    <w:link w:val="6"/>
    <w:qFormat/>
    <w:uiPriority w:val="99"/>
    <w:rPr>
      <w:kern w:val="2"/>
      <w:sz w:val="18"/>
      <w:szCs w:val="18"/>
    </w:rPr>
  </w:style>
  <w:style w:type="character" w:customStyle="1" w:styleId="21">
    <w:name w:val="标题 2 字符"/>
    <w:basedOn w:val="10"/>
    <w:link w:val="3"/>
    <w:semiHidden/>
    <w:qFormat/>
    <w:uiPriority w:val="9"/>
    <w:rPr>
      <w:rFonts w:asciiTheme="majorHAnsi" w:hAnsiTheme="majorHAnsi" w:eastAsiaTheme="majorEastAsia" w:cstheme="majorBidi"/>
      <w:b/>
      <w:bCs/>
      <w:kern w:val="2"/>
      <w:sz w:val="32"/>
      <w:szCs w:val="32"/>
    </w:rPr>
  </w:style>
  <w:style w:type="character" w:customStyle="1" w:styleId="22">
    <w:name w:val="未处理的提及1"/>
    <w:basedOn w:val="10"/>
    <w:semiHidden/>
    <w:unhideWhenUsed/>
    <w:qFormat/>
    <w:uiPriority w:val="99"/>
    <w:rPr>
      <w:color w:val="605E5C"/>
      <w:shd w:val="clear" w:color="auto" w:fill="E1DFDD"/>
    </w:rPr>
  </w:style>
  <w:style w:type="paragraph" w:customStyle="1" w:styleId="23">
    <w:name w:val="修订3"/>
    <w:hidden/>
    <w:unhideWhenUsed/>
    <w:qFormat/>
    <w:uiPriority w:val="99"/>
    <w:rPr>
      <w:rFonts w:ascii="Calibri" w:hAnsi="Calibri" w:eastAsia="宋体" w:cs="Times New Roman"/>
      <w:kern w:val="2"/>
      <w:sz w:val="21"/>
      <w:szCs w:val="22"/>
      <w:lang w:val="en-US" w:eastAsia="zh-CN" w:bidi="ar-SA"/>
    </w:rPr>
  </w:style>
  <w:style w:type="paragraph" w:customStyle="1" w:styleId="24">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1567</Words>
  <Characters>1635</Characters>
  <Lines>12</Lines>
  <Paragraphs>3</Paragraphs>
  <TotalTime>430</TotalTime>
  <ScaleCrop>false</ScaleCrop>
  <LinksUpToDate>false</LinksUpToDate>
  <CharactersWithSpaces>1676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2025-01-22T07:39:00Z</dcterms:created>
  <dc:creator>guoyi.chen</dc:creator>
  <cp:lastModifiedBy>吴潇晗</cp:lastModifiedBy>
  <cp:lastPrinted>2025-01-22T09:44:00Z</cp:lastPrinted>
  <dcterms:modified xsi:type="dcterms:W3CDTF">2025-12-16T06:37:54Z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2DAD643E294245E7A71138379034AD53_13</vt:lpwstr>
  </property>
  <property fmtid="{D5CDD505-2E9C-101B-9397-08002B2CF9AE}" pid="4" name="KSOTemplateDocerSaveRecord">
    <vt:lpwstr>eyJoZGlkIjoiNjJjODI3ZTExYjA1OGMwZGVlZTBmZmU0ZGNjNzE5NTUiLCJ1c2VySWQiOiIxNjExMTM1NzMzIn0=</vt:lpwstr>
  </property>
</Properties>
</file>