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117973">
        <w:rPr>
          <w:rFonts w:ascii="方正仿宋_GBK" w:eastAsia="方正仿宋_GBK" w:hAnsiTheme="minorEastAsia" w:hint="eastAsia"/>
          <w:color w:val="000000" w:themeColor="text1"/>
          <w:sz w:val="28"/>
          <w:szCs w:val="28"/>
        </w:rPr>
        <w:t>5</w:t>
      </w:r>
      <w:r w:rsidRPr="00B05CF0">
        <w:rPr>
          <w:rFonts w:ascii="方正仿宋_GBK" w:eastAsia="方正仿宋_GBK" w:hAnsiTheme="minorEastAsia" w:hint="eastAsia"/>
          <w:color w:val="000000" w:themeColor="text1"/>
          <w:sz w:val="28"/>
          <w:szCs w:val="28"/>
        </w:rPr>
        <w:t>-0</w:t>
      </w:r>
      <w:r w:rsidR="003E40C2">
        <w:rPr>
          <w:rFonts w:ascii="方正仿宋_GBK" w:eastAsia="方正仿宋_GBK" w:hAnsiTheme="minorEastAsia" w:hint="eastAsia"/>
          <w:color w:val="000000" w:themeColor="text1"/>
          <w:sz w:val="28"/>
          <w:szCs w:val="28"/>
        </w:rPr>
        <w:t>4</w:t>
      </w:r>
    </w:p>
    <w:tbl>
      <w:tblPr>
        <w:tblStyle w:val="11"/>
        <w:tblW w:w="9215" w:type="dxa"/>
        <w:jc w:val="center"/>
        <w:tblLayout w:type="fixed"/>
        <w:tblLook w:val="04A0" w:firstRow="1" w:lastRow="0" w:firstColumn="1" w:lastColumn="0" w:noHBand="0" w:noVBand="1"/>
      </w:tblPr>
      <w:tblGrid>
        <w:gridCol w:w="2552"/>
        <w:gridCol w:w="6663"/>
      </w:tblGrid>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6663"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6663" w:type="dxa"/>
            <w:vAlign w:val="center"/>
          </w:tcPr>
          <w:p w:rsidR="00BE55D0" w:rsidRPr="00BE55D0" w:rsidRDefault="003E40C2" w:rsidP="003E40C2">
            <w:pPr>
              <w:jc w:val="left"/>
              <w:rPr>
                <w:rFonts w:ascii="方正仿宋_GBK" w:eastAsia="方正仿宋_GBK" w:hAnsiTheme="minorEastAsia"/>
                <w:color w:val="000000" w:themeColor="text1"/>
                <w:sz w:val="28"/>
                <w:szCs w:val="28"/>
              </w:rPr>
            </w:pPr>
            <w:r w:rsidRPr="003E40C2">
              <w:rPr>
                <w:rFonts w:ascii="方正仿宋_GBK" w:eastAsia="方正仿宋_GBK" w:hAnsiTheme="minorEastAsia" w:hint="eastAsia"/>
                <w:color w:val="000000" w:themeColor="text1"/>
                <w:sz w:val="28"/>
                <w:szCs w:val="28"/>
              </w:rPr>
              <w:t>西南证券交通行业研究员胡光怿</w:t>
            </w:r>
            <w:r>
              <w:rPr>
                <w:rFonts w:ascii="方正仿宋_GBK" w:eastAsia="方正仿宋_GBK" w:hAnsiTheme="minorEastAsia" w:hint="eastAsia"/>
                <w:color w:val="000000" w:themeColor="text1"/>
                <w:sz w:val="28"/>
                <w:szCs w:val="28"/>
              </w:rPr>
              <w:t>，</w:t>
            </w:r>
            <w:r w:rsidRPr="003E40C2">
              <w:rPr>
                <w:rFonts w:ascii="方正仿宋_GBK" w:eastAsia="方正仿宋_GBK" w:hAnsiTheme="minorEastAsia" w:hint="eastAsia"/>
                <w:color w:val="000000" w:themeColor="text1"/>
                <w:sz w:val="28"/>
                <w:szCs w:val="28"/>
              </w:rPr>
              <w:t>个人投资者张果</w:t>
            </w:r>
            <w:r>
              <w:rPr>
                <w:rFonts w:ascii="方正仿宋_GBK" w:eastAsia="方正仿宋_GBK" w:hAnsiTheme="minorEastAsia" w:hint="eastAsia"/>
                <w:color w:val="000000" w:themeColor="text1"/>
                <w:sz w:val="28"/>
                <w:szCs w:val="28"/>
              </w:rPr>
              <w:t>、</w:t>
            </w:r>
            <w:r w:rsidRPr="003E40C2">
              <w:rPr>
                <w:rFonts w:ascii="方正仿宋_GBK" w:eastAsia="方正仿宋_GBK" w:hAnsiTheme="minorEastAsia" w:hint="eastAsia"/>
                <w:color w:val="000000" w:themeColor="text1"/>
                <w:sz w:val="28"/>
                <w:szCs w:val="28"/>
              </w:rPr>
              <w:t>邵渝江</w:t>
            </w:r>
            <w:r>
              <w:rPr>
                <w:rFonts w:ascii="方正仿宋_GBK" w:eastAsia="方正仿宋_GBK" w:hAnsiTheme="minorEastAsia" w:hint="eastAsia"/>
                <w:color w:val="000000" w:themeColor="text1"/>
                <w:sz w:val="28"/>
                <w:szCs w:val="28"/>
              </w:rPr>
              <w:t>、</w:t>
            </w:r>
            <w:r w:rsidRPr="003E40C2">
              <w:rPr>
                <w:rFonts w:ascii="方正仿宋_GBK" w:eastAsia="方正仿宋_GBK" w:hAnsiTheme="minorEastAsia" w:hint="eastAsia"/>
                <w:color w:val="000000" w:themeColor="text1"/>
                <w:sz w:val="28"/>
                <w:szCs w:val="28"/>
              </w:rPr>
              <w:t>李德琼</w:t>
            </w:r>
            <w:r>
              <w:rPr>
                <w:rFonts w:ascii="方正仿宋_GBK" w:eastAsia="方正仿宋_GBK" w:hAnsiTheme="minorEastAsia" w:hint="eastAsia"/>
                <w:color w:val="000000" w:themeColor="text1"/>
                <w:sz w:val="28"/>
                <w:szCs w:val="28"/>
              </w:rPr>
              <w:t>、</w:t>
            </w:r>
            <w:r w:rsidRPr="003E40C2">
              <w:rPr>
                <w:rFonts w:ascii="方正仿宋_GBK" w:eastAsia="方正仿宋_GBK" w:hAnsiTheme="minorEastAsia" w:hint="eastAsia"/>
                <w:color w:val="000000" w:themeColor="text1"/>
                <w:sz w:val="28"/>
                <w:szCs w:val="28"/>
              </w:rPr>
              <w:t>彭庆</w:t>
            </w:r>
            <w:r>
              <w:rPr>
                <w:rFonts w:ascii="方正仿宋_GBK" w:eastAsia="方正仿宋_GBK" w:hAnsiTheme="minorEastAsia" w:hint="eastAsia"/>
                <w:color w:val="000000" w:themeColor="text1"/>
                <w:sz w:val="28"/>
                <w:szCs w:val="28"/>
              </w:rPr>
              <w:t>。</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6663" w:type="dxa"/>
            <w:vAlign w:val="center"/>
          </w:tcPr>
          <w:p w:rsidR="00BE55D0" w:rsidRPr="00BE55D0" w:rsidRDefault="00BE55D0" w:rsidP="00117973">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202</w:t>
            </w:r>
            <w:r w:rsidR="00117973">
              <w:rPr>
                <w:rFonts w:ascii="方正仿宋_GBK" w:eastAsia="方正仿宋_GBK" w:hAnsiTheme="minorEastAsia"/>
                <w:color w:val="000000" w:themeColor="text1"/>
                <w:sz w:val="28"/>
                <w:szCs w:val="28"/>
              </w:rPr>
              <w:t>5</w:t>
            </w:r>
            <w:r w:rsidRPr="00BE55D0">
              <w:rPr>
                <w:rFonts w:ascii="方正仿宋_GBK" w:eastAsia="方正仿宋_GBK" w:hAnsiTheme="minorEastAsia" w:hint="eastAsia"/>
                <w:color w:val="000000" w:themeColor="text1"/>
                <w:sz w:val="28"/>
                <w:szCs w:val="28"/>
              </w:rPr>
              <w:t>年</w:t>
            </w:r>
            <w:r w:rsidR="00C44E63">
              <w:rPr>
                <w:rFonts w:ascii="方正仿宋_GBK" w:eastAsia="方正仿宋_GBK" w:hAnsiTheme="minorEastAsia" w:hint="eastAsia"/>
                <w:color w:val="000000" w:themeColor="text1"/>
                <w:sz w:val="28"/>
                <w:szCs w:val="28"/>
              </w:rPr>
              <w:t>1</w:t>
            </w:r>
            <w:r w:rsidR="003E40C2">
              <w:rPr>
                <w:rFonts w:ascii="方正仿宋_GBK" w:eastAsia="方正仿宋_GBK" w:hAnsiTheme="minorEastAsia" w:hint="eastAsia"/>
                <w:color w:val="000000" w:themeColor="text1"/>
                <w:sz w:val="28"/>
                <w:szCs w:val="28"/>
              </w:rPr>
              <w:t>2</w:t>
            </w:r>
            <w:r w:rsidRPr="00BE55D0">
              <w:rPr>
                <w:rFonts w:ascii="方正仿宋_GBK" w:eastAsia="方正仿宋_GBK" w:hAnsiTheme="minorEastAsia" w:hint="eastAsia"/>
                <w:color w:val="000000" w:themeColor="text1"/>
                <w:sz w:val="28"/>
                <w:szCs w:val="28"/>
              </w:rPr>
              <w:t>月</w:t>
            </w:r>
            <w:r w:rsidR="003E40C2">
              <w:rPr>
                <w:rFonts w:ascii="方正仿宋_GBK" w:eastAsia="方正仿宋_GBK" w:hAnsiTheme="minorEastAsia" w:hint="eastAsia"/>
                <w:color w:val="000000" w:themeColor="text1"/>
                <w:sz w:val="28"/>
                <w:szCs w:val="28"/>
              </w:rPr>
              <w:t>9</w:t>
            </w:r>
            <w:r w:rsidRPr="00BE55D0">
              <w:rPr>
                <w:rFonts w:ascii="方正仿宋_GBK" w:eastAsia="方正仿宋_GBK" w:hAnsiTheme="minorEastAsia" w:hint="eastAsia"/>
                <w:color w:val="000000" w:themeColor="text1"/>
                <w:sz w:val="28"/>
                <w:szCs w:val="28"/>
              </w:rPr>
              <w:t>日</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6663" w:type="dxa"/>
            <w:vAlign w:val="center"/>
          </w:tcPr>
          <w:p w:rsidR="00BE55D0" w:rsidRPr="00BE55D0" w:rsidRDefault="00BE55D0" w:rsidP="003E40C2">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3E40C2">
              <w:rPr>
                <w:rFonts w:ascii="方正仿宋_GBK" w:eastAsia="方正仿宋_GBK" w:hAnsiTheme="minorEastAsia"/>
                <w:color w:val="000000" w:themeColor="text1"/>
                <w:sz w:val="28"/>
                <w:szCs w:val="28"/>
              </w:rPr>
              <w:t>0</w:t>
            </w:r>
            <w:r w:rsidRPr="00BE55D0">
              <w:rPr>
                <w:rFonts w:ascii="方正仿宋_GBK" w:eastAsia="方正仿宋_GBK" w:hAnsiTheme="minorEastAsia" w:hint="eastAsia"/>
                <w:color w:val="000000" w:themeColor="text1"/>
                <w:sz w:val="28"/>
                <w:szCs w:val="28"/>
              </w:rPr>
              <w:t>楼会议室</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6663" w:type="dxa"/>
            <w:tcBorders>
              <w:bottom w:val="single" w:sz="4" w:space="0" w:color="auto"/>
            </w:tcBorders>
            <w:vAlign w:val="center"/>
          </w:tcPr>
          <w:p w:rsidR="00BE55D0" w:rsidRPr="00BE55D0" w:rsidRDefault="00117973" w:rsidP="003E40C2">
            <w:pPr>
              <w:tabs>
                <w:tab w:val="left" w:pos="2530"/>
              </w:tabs>
              <w:spacing w:line="500" w:lineRule="exact"/>
              <w:rPr>
                <w:rFonts w:ascii="方正仿宋_GBK" w:eastAsia="方正仿宋_GBK"/>
                <w:sz w:val="32"/>
                <w:szCs w:val="32"/>
              </w:rPr>
            </w:pPr>
            <w:r>
              <w:rPr>
                <w:rFonts w:ascii="方正仿宋_GBK" w:eastAsia="方正仿宋_GBK" w:hAnsiTheme="minorEastAsia" w:hint="eastAsia"/>
                <w:color w:val="000000" w:themeColor="text1"/>
                <w:sz w:val="28"/>
                <w:szCs w:val="28"/>
              </w:rPr>
              <w:t>董事、</w:t>
            </w:r>
            <w:r w:rsidR="00BE55D0" w:rsidRPr="00BE55D0">
              <w:rPr>
                <w:rFonts w:ascii="方正仿宋_GBK" w:eastAsia="方正仿宋_GBK" w:hAnsiTheme="minorEastAsia" w:hint="eastAsia"/>
                <w:color w:val="000000" w:themeColor="text1"/>
                <w:sz w:val="28"/>
                <w:szCs w:val="28"/>
              </w:rPr>
              <w:t>财务总监</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董事会秘书</w:t>
            </w:r>
            <w:r w:rsidR="00BE55D0" w:rsidRPr="00BE55D0">
              <w:rPr>
                <w:rFonts w:ascii="方正仿宋_GBK" w:eastAsia="方正仿宋_GBK" w:hAnsiTheme="minorEastAsia" w:hint="eastAsia"/>
                <w:color w:val="000000" w:themeColor="text1"/>
                <w:sz w:val="28"/>
                <w:szCs w:val="28"/>
              </w:rPr>
              <w:t>刘红伟，资产证券部相关</w:t>
            </w:r>
            <w:r w:rsidR="00BE55D0" w:rsidRPr="00BE55D0">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E9788F">
        <w:trPr>
          <w:trHeight w:val="630"/>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6663"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一、</w:t>
            </w:r>
            <w:r w:rsidR="003E40C2" w:rsidRPr="003E40C2">
              <w:rPr>
                <w:rFonts w:ascii="方正黑体_GBK" w:eastAsia="方正黑体_GBK" w:hAnsi="仿宋_GB2312" w:cs="仿宋_GB2312" w:hint="eastAsia"/>
                <w:bCs/>
                <w:color w:val="000000"/>
                <w:kern w:val="0"/>
                <w:sz w:val="28"/>
                <w:szCs w:val="28"/>
              </w:rPr>
              <w:t>请问当前港</w:t>
            </w:r>
            <w:proofErr w:type="gramStart"/>
            <w:r w:rsidR="003E40C2" w:rsidRPr="003E40C2">
              <w:rPr>
                <w:rFonts w:ascii="方正黑体_GBK" w:eastAsia="方正黑体_GBK" w:hAnsi="仿宋_GB2312" w:cs="仿宋_GB2312" w:hint="eastAsia"/>
                <w:bCs/>
                <w:color w:val="000000"/>
                <w:kern w:val="0"/>
                <w:sz w:val="28"/>
                <w:szCs w:val="28"/>
              </w:rPr>
              <w:t>航核心</w:t>
            </w:r>
            <w:proofErr w:type="gramEnd"/>
            <w:r w:rsidR="003E40C2" w:rsidRPr="003E40C2">
              <w:rPr>
                <w:rFonts w:ascii="方正黑体_GBK" w:eastAsia="方正黑体_GBK" w:hAnsi="仿宋_GB2312" w:cs="仿宋_GB2312" w:hint="eastAsia"/>
                <w:bCs/>
                <w:color w:val="000000"/>
                <w:kern w:val="0"/>
                <w:sz w:val="28"/>
                <w:szCs w:val="28"/>
              </w:rPr>
              <w:t>业务的需求态势如何？后续将通过哪些举措持续巩固盈利能力？</w:t>
            </w:r>
          </w:p>
          <w:p w:rsidR="00180D21" w:rsidRDefault="003E40C2" w:rsidP="003559BD">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仿宋_GB2312" w:cs="仿宋_GB2312" w:hint="eastAsia"/>
                <w:bCs/>
                <w:color w:val="000000"/>
                <w:kern w:val="0"/>
                <w:sz w:val="28"/>
                <w:szCs w:val="28"/>
              </w:rPr>
              <w:t>截至目前，重庆港货物吞吐量、集装箱吞吐量整体</w:t>
            </w:r>
            <w:r>
              <w:rPr>
                <w:rFonts w:ascii="方正仿宋_GBK" w:eastAsia="方正仿宋_GBK" w:hAnsi="仿宋_GB2312" w:cs="仿宋_GB2312" w:hint="eastAsia"/>
                <w:bCs/>
                <w:color w:val="000000"/>
                <w:kern w:val="0"/>
                <w:sz w:val="28"/>
                <w:szCs w:val="28"/>
              </w:rPr>
              <w:t>总体</w:t>
            </w:r>
            <w:r w:rsidRPr="003E40C2">
              <w:rPr>
                <w:rFonts w:ascii="方正仿宋_GBK" w:eastAsia="方正仿宋_GBK" w:hAnsi="仿宋_GB2312" w:cs="仿宋_GB2312" w:hint="eastAsia"/>
                <w:bCs/>
                <w:color w:val="000000"/>
                <w:kern w:val="0"/>
                <w:sz w:val="28"/>
                <w:szCs w:val="28"/>
              </w:rPr>
              <w:t>呈现增长态势。后续重庆港将继续加大</w:t>
            </w:r>
            <w:proofErr w:type="gramStart"/>
            <w:r w:rsidRPr="003E40C2">
              <w:rPr>
                <w:rFonts w:ascii="方正仿宋_GBK" w:eastAsia="方正仿宋_GBK" w:hAnsi="仿宋_GB2312" w:cs="仿宋_GB2312" w:hint="eastAsia"/>
                <w:bCs/>
                <w:color w:val="000000"/>
                <w:kern w:val="0"/>
                <w:sz w:val="28"/>
                <w:szCs w:val="28"/>
              </w:rPr>
              <w:t>疆煤入渝</w:t>
            </w:r>
            <w:proofErr w:type="gramEnd"/>
            <w:r w:rsidRPr="003E40C2">
              <w:rPr>
                <w:rFonts w:ascii="方正仿宋_GBK" w:eastAsia="方正仿宋_GBK" w:hAnsi="仿宋_GB2312" w:cs="仿宋_GB2312" w:hint="eastAsia"/>
                <w:bCs/>
                <w:color w:val="000000"/>
                <w:kern w:val="0"/>
                <w:sz w:val="28"/>
                <w:szCs w:val="28"/>
              </w:rPr>
              <w:t>、千里轻舟、沪渝直达快线、33618制造业物流等重点项目推进力度，充分发挥重庆港多式联运现代化集疏运体系优势，促进货物吞吐量持续增长。</w:t>
            </w:r>
          </w:p>
          <w:p w:rsidR="003559BD" w:rsidRPr="003559BD" w:rsidRDefault="00922500" w:rsidP="003559BD">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二、</w:t>
            </w:r>
            <w:r w:rsidR="003E40C2" w:rsidRPr="003E40C2">
              <w:rPr>
                <w:rFonts w:ascii="方正黑体_GBK" w:eastAsia="方正黑体_GBK" w:hAnsi="仿宋_GB2312" w:cs="仿宋_GB2312" w:hint="eastAsia"/>
                <w:bCs/>
                <w:color w:val="000000"/>
                <w:kern w:val="0"/>
                <w:sz w:val="28"/>
                <w:szCs w:val="28"/>
              </w:rPr>
              <w:t>重庆物流集团吸收合并港务物流集团已完成关键审批，</w:t>
            </w:r>
            <w:r w:rsidR="003E40C2">
              <w:rPr>
                <w:rFonts w:ascii="方正黑体_GBK" w:eastAsia="方正黑体_GBK" w:hAnsi="仿宋_GB2312" w:cs="仿宋_GB2312" w:hint="eastAsia"/>
                <w:bCs/>
                <w:color w:val="000000"/>
                <w:kern w:val="0"/>
                <w:sz w:val="28"/>
                <w:szCs w:val="28"/>
              </w:rPr>
              <w:t>对公司有什么</w:t>
            </w:r>
            <w:r w:rsidR="003E40C2">
              <w:rPr>
                <w:rFonts w:ascii="方正黑体_GBK" w:eastAsia="方正黑体_GBK" w:hAnsi="仿宋_GB2312" w:cs="仿宋_GB2312"/>
                <w:bCs/>
                <w:color w:val="000000"/>
                <w:kern w:val="0"/>
                <w:sz w:val="28"/>
                <w:szCs w:val="28"/>
              </w:rPr>
              <w:t>影响</w:t>
            </w:r>
            <w:r w:rsidR="003E40C2">
              <w:rPr>
                <w:rFonts w:ascii="方正黑体_GBK" w:eastAsia="方正黑体_GBK" w:hAnsi="仿宋_GB2312" w:cs="仿宋_GB2312" w:hint="eastAsia"/>
                <w:bCs/>
                <w:color w:val="000000"/>
                <w:kern w:val="0"/>
                <w:sz w:val="28"/>
                <w:szCs w:val="28"/>
              </w:rPr>
              <w:t>？</w:t>
            </w:r>
          </w:p>
          <w:p w:rsidR="00922500" w:rsidRPr="003E40C2" w:rsidRDefault="00162FC4" w:rsidP="003E40C2">
            <w:pPr>
              <w:widowControl/>
              <w:spacing w:line="440" w:lineRule="exact"/>
              <w:ind w:firstLineChars="200" w:firstLine="560"/>
              <w:rPr>
                <w:rFonts w:ascii="方正仿宋_GBK" w:eastAsia="方正仿宋_GBK" w:hAnsi="仿宋_GB2312" w:cs="仿宋_GB2312"/>
                <w:bCs/>
                <w:color w:val="000000"/>
                <w:kern w:val="0"/>
                <w:sz w:val="28"/>
                <w:szCs w:val="28"/>
              </w:rPr>
            </w:pPr>
            <w:bookmarkStart w:id="0" w:name="OLE_LINK5"/>
            <w:bookmarkStart w:id="1" w:name="OLE_LINK6"/>
            <w:r w:rsidRPr="00162FC4">
              <w:rPr>
                <w:rFonts w:ascii="方正仿宋_GBK" w:eastAsia="方正仿宋_GBK" w:hAnsi="仿宋_GB2312" w:cs="仿宋_GB2312"/>
                <w:bCs/>
                <w:color w:val="000000"/>
                <w:kern w:val="0"/>
                <w:sz w:val="28"/>
                <w:szCs w:val="28"/>
              </w:rPr>
              <w:t>公司</w:t>
            </w:r>
            <w:r w:rsidRPr="00162FC4">
              <w:rPr>
                <w:rFonts w:ascii="方正仿宋_GBK" w:eastAsia="方正仿宋_GBK" w:hAnsi="仿宋_GB2312" w:cs="仿宋_GB2312" w:hint="eastAsia"/>
                <w:bCs/>
                <w:color w:val="000000"/>
                <w:kern w:val="0"/>
                <w:sz w:val="28"/>
                <w:szCs w:val="28"/>
              </w:rPr>
              <w:t>间接控股股东重庆物流</w:t>
            </w:r>
            <w:r w:rsidRPr="00162FC4">
              <w:rPr>
                <w:rFonts w:ascii="方正仿宋_GBK" w:eastAsia="方正仿宋_GBK" w:hAnsi="仿宋_GB2312" w:cs="仿宋_GB2312"/>
                <w:bCs/>
                <w:color w:val="000000"/>
                <w:kern w:val="0"/>
                <w:sz w:val="28"/>
                <w:szCs w:val="28"/>
              </w:rPr>
              <w:t>集团</w:t>
            </w:r>
            <w:r w:rsidRPr="00162FC4">
              <w:rPr>
                <w:rFonts w:ascii="方正仿宋_GBK" w:eastAsia="方正仿宋_GBK" w:hAnsi="仿宋_GB2312" w:cs="仿宋_GB2312" w:hint="eastAsia"/>
                <w:bCs/>
                <w:color w:val="000000"/>
                <w:kern w:val="0"/>
                <w:sz w:val="28"/>
                <w:szCs w:val="28"/>
              </w:rPr>
              <w:t>拟吸收合并公司控股股东港务物流集团</w:t>
            </w:r>
            <w:r>
              <w:rPr>
                <w:rFonts w:ascii="方正仿宋_GBK" w:eastAsia="方正仿宋_GBK" w:hAnsi="仿宋_GB2312" w:cs="仿宋_GB2312" w:hint="eastAsia"/>
                <w:bCs/>
                <w:color w:val="000000"/>
                <w:kern w:val="0"/>
                <w:sz w:val="28"/>
                <w:szCs w:val="28"/>
              </w:rPr>
              <w:t>，</w:t>
            </w:r>
            <w:r w:rsidRPr="00162FC4">
              <w:rPr>
                <w:rFonts w:ascii="方正仿宋_GBK" w:eastAsia="方正仿宋_GBK" w:hAnsi="仿宋_GB2312" w:cs="仿宋_GB2312" w:hint="eastAsia"/>
                <w:bCs/>
                <w:color w:val="000000"/>
                <w:kern w:val="0"/>
                <w:sz w:val="28"/>
                <w:szCs w:val="28"/>
              </w:rPr>
              <w:t>将导致公司控股股东由港务物流集团变更为重庆物流集团。港务物流集团系重庆物流集团的全资子公司，因此，本次权益变动未导致</w:t>
            </w:r>
            <w:r w:rsidRPr="00162FC4">
              <w:rPr>
                <w:rFonts w:ascii="方正仿宋_GBK" w:eastAsia="方正仿宋_GBK" w:hAnsi="仿宋_GB2312" w:cs="仿宋_GB2312" w:hint="eastAsia"/>
                <w:bCs/>
                <w:color w:val="000000"/>
                <w:kern w:val="0"/>
                <w:sz w:val="28"/>
                <w:szCs w:val="28"/>
              </w:rPr>
              <w:lastRenderedPageBreak/>
              <w:t>公司实际控制人发生变化，公司实际控制人仍为重庆市国有</w:t>
            </w:r>
            <w:r w:rsidRPr="003E40C2">
              <w:rPr>
                <w:rFonts w:ascii="方正仿宋_GBK" w:eastAsia="方正仿宋_GBK" w:hAnsi="仿宋_GB2312" w:cs="仿宋_GB2312" w:hint="eastAsia"/>
                <w:bCs/>
                <w:color w:val="000000"/>
                <w:kern w:val="0"/>
                <w:sz w:val="28"/>
                <w:szCs w:val="28"/>
              </w:rPr>
              <w:t>资产监督管理委员会。本次控股股东被吸收合并对公司财务状况不会产生影响，不存在损害公司及中小投资者利益的情形，不会对公司生产经营等情况产生重大影响。</w:t>
            </w:r>
            <w:bookmarkEnd w:id="0"/>
            <w:bookmarkEnd w:id="1"/>
          </w:p>
          <w:p w:rsidR="003E40C2" w:rsidRPr="003E40C2" w:rsidRDefault="00922500" w:rsidP="003E40C2">
            <w:pPr>
              <w:spacing w:line="440" w:lineRule="exact"/>
              <w:ind w:firstLineChars="200" w:firstLine="560"/>
              <w:rPr>
                <w:rFonts w:ascii="方正黑体_GBK" w:eastAsia="方正黑体_GBK" w:hAnsi="仿宋_GB2312" w:cs="仿宋_GB2312"/>
                <w:bCs/>
                <w:color w:val="000000"/>
                <w:kern w:val="0"/>
                <w:sz w:val="28"/>
                <w:szCs w:val="28"/>
              </w:rPr>
            </w:pPr>
            <w:r w:rsidRPr="003E40C2">
              <w:rPr>
                <w:rFonts w:ascii="方正黑体_GBK" w:eastAsia="方正黑体_GBK" w:hAnsi="仿宋_GB2312" w:cs="仿宋_GB2312" w:hint="eastAsia"/>
                <w:bCs/>
                <w:color w:val="000000"/>
                <w:kern w:val="0"/>
                <w:sz w:val="28"/>
                <w:szCs w:val="28"/>
              </w:rPr>
              <w:t>三、</w:t>
            </w:r>
            <w:r w:rsidR="003E40C2" w:rsidRPr="003E40C2">
              <w:rPr>
                <w:rFonts w:ascii="方正黑体_GBK" w:eastAsia="方正黑体_GBK" w:hAnsi="仿宋_GB2312" w:cs="仿宋_GB2312" w:hint="eastAsia"/>
                <w:bCs/>
                <w:color w:val="000000"/>
                <w:kern w:val="0"/>
                <w:sz w:val="28"/>
                <w:szCs w:val="28"/>
              </w:rPr>
              <w:t>“重庆-宁波舟山港”江海直达航线已实现常态化开行，航线目前的货物周转效率、货源结构及客户反馈情况怎样？</w:t>
            </w:r>
          </w:p>
          <w:p w:rsidR="00E36DF8" w:rsidRPr="003E40C2" w:rsidRDefault="003E40C2"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Times New Roman" w:cs="Times New Roman" w:hint="eastAsia"/>
                <w:sz w:val="28"/>
                <w:szCs w:val="28"/>
              </w:rPr>
              <w:t>江海直达航线是重庆建设现代化集疏运体系标志性改革成果，重庆港积极探索、优化江海直达新模式，将原有江海联运的“三程”模式优化为“二程”，提高运输时效5天左右，极大的降低了货损率，进一步增强了重庆港的辐射功能和枢纽地位，2025年江海直达航线共完成2往返4个航次，主要运输货物为：矿石、粮食、钢材、化工品等。</w:t>
            </w:r>
          </w:p>
          <w:p w:rsidR="00922500" w:rsidRPr="003E40C2" w:rsidRDefault="00922500"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3E40C2">
              <w:rPr>
                <w:rFonts w:ascii="方正黑体_GBK" w:eastAsia="方正黑体_GBK" w:hAnsi="仿宋_GB2312" w:cs="仿宋_GB2312" w:hint="eastAsia"/>
                <w:bCs/>
                <w:color w:val="000000"/>
                <w:kern w:val="0"/>
                <w:sz w:val="28"/>
                <w:szCs w:val="28"/>
              </w:rPr>
              <w:t>四、</w:t>
            </w:r>
            <w:r w:rsidR="003E40C2" w:rsidRPr="003E40C2">
              <w:rPr>
                <w:rFonts w:ascii="方正黑体_GBK" w:eastAsia="方正黑体_GBK" w:hAnsi="仿宋_GB2312" w:cs="仿宋_GB2312" w:hint="eastAsia"/>
                <w:bCs/>
                <w:color w:val="000000"/>
                <w:kern w:val="0"/>
                <w:sz w:val="28"/>
                <w:szCs w:val="28"/>
              </w:rPr>
              <w:t>公司近期公告投资约2.99亿元建设</w:t>
            </w:r>
            <w:proofErr w:type="gramStart"/>
            <w:r w:rsidR="003E40C2" w:rsidRPr="003E40C2">
              <w:rPr>
                <w:rFonts w:ascii="方正黑体_GBK" w:eastAsia="方正黑体_GBK" w:hAnsi="仿宋_GB2312" w:cs="仿宋_GB2312" w:hint="eastAsia"/>
                <w:bCs/>
                <w:color w:val="000000"/>
                <w:kern w:val="0"/>
                <w:sz w:val="28"/>
                <w:szCs w:val="28"/>
              </w:rPr>
              <w:t>江津港</w:t>
            </w:r>
            <w:proofErr w:type="gramEnd"/>
            <w:r w:rsidR="003E40C2" w:rsidRPr="003E40C2">
              <w:rPr>
                <w:rFonts w:ascii="方正黑体_GBK" w:eastAsia="方正黑体_GBK" w:hAnsi="仿宋_GB2312" w:cs="仿宋_GB2312" w:hint="eastAsia"/>
                <w:bCs/>
                <w:color w:val="000000"/>
                <w:kern w:val="0"/>
                <w:sz w:val="28"/>
                <w:szCs w:val="28"/>
              </w:rPr>
              <w:t>二期改扩建工程，旨在打造西南最大粮食集散基地，请问该项目当前的前期筹备进展如何？在政策性补贴申请、建设成本控制方面已采取哪些保障措施？</w:t>
            </w:r>
          </w:p>
          <w:p w:rsidR="003E40C2" w:rsidRPr="003E40C2" w:rsidRDefault="00F21C7B" w:rsidP="003E40C2">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目</w:t>
            </w:r>
            <w:r>
              <w:rPr>
                <w:rFonts w:ascii="方正仿宋_GBK" w:eastAsia="方正仿宋_GBK" w:hAnsi="仿宋_GB2312" w:cs="仿宋_GB2312"/>
                <w:bCs/>
                <w:color w:val="000000"/>
                <w:kern w:val="0"/>
                <w:sz w:val="28"/>
                <w:szCs w:val="28"/>
              </w:rPr>
              <w:t>前，</w:t>
            </w:r>
            <w:proofErr w:type="gramStart"/>
            <w:r>
              <w:rPr>
                <w:rFonts w:ascii="方正仿宋_GBK" w:eastAsia="方正仿宋_GBK" w:hAnsi="仿宋_GB2312" w:cs="仿宋_GB2312" w:hint="eastAsia"/>
                <w:bCs/>
                <w:color w:val="000000"/>
                <w:kern w:val="0"/>
                <w:sz w:val="28"/>
                <w:szCs w:val="28"/>
              </w:rPr>
              <w:t>江津港</w:t>
            </w:r>
            <w:proofErr w:type="gramEnd"/>
            <w:r>
              <w:rPr>
                <w:rFonts w:ascii="方正仿宋_GBK" w:eastAsia="方正仿宋_GBK" w:hAnsi="仿宋_GB2312" w:cs="仿宋_GB2312" w:hint="eastAsia"/>
                <w:bCs/>
                <w:color w:val="000000"/>
                <w:kern w:val="0"/>
                <w:sz w:val="28"/>
                <w:szCs w:val="28"/>
              </w:rPr>
              <w:t>二期改扩建工程</w:t>
            </w:r>
            <w:r w:rsidR="003E40C2" w:rsidRPr="003E40C2">
              <w:rPr>
                <w:rFonts w:ascii="方正仿宋_GBK" w:eastAsia="方正仿宋_GBK" w:hAnsi="仿宋_GB2312" w:cs="仿宋_GB2312" w:hint="eastAsia"/>
                <w:bCs/>
                <w:color w:val="000000"/>
                <w:kern w:val="0"/>
                <w:sz w:val="28"/>
                <w:szCs w:val="28"/>
              </w:rPr>
              <w:t>前期筹备</w:t>
            </w:r>
            <w:r>
              <w:rPr>
                <w:rFonts w:ascii="方正仿宋_GBK" w:eastAsia="方正仿宋_GBK" w:hAnsi="仿宋_GB2312" w:cs="仿宋_GB2312" w:hint="eastAsia"/>
                <w:bCs/>
                <w:color w:val="000000"/>
                <w:kern w:val="0"/>
                <w:sz w:val="28"/>
                <w:szCs w:val="28"/>
              </w:rPr>
              <w:t>工</w:t>
            </w:r>
            <w:r>
              <w:rPr>
                <w:rFonts w:ascii="方正仿宋_GBK" w:eastAsia="方正仿宋_GBK" w:hAnsi="仿宋_GB2312" w:cs="仿宋_GB2312"/>
                <w:bCs/>
                <w:color w:val="000000"/>
                <w:kern w:val="0"/>
                <w:sz w:val="28"/>
                <w:szCs w:val="28"/>
              </w:rPr>
              <w:t>作</w:t>
            </w:r>
            <w:r w:rsidR="003E40C2" w:rsidRPr="003E40C2">
              <w:rPr>
                <w:rFonts w:ascii="方正仿宋_GBK" w:eastAsia="方正仿宋_GBK" w:hAnsi="仿宋_GB2312" w:cs="仿宋_GB2312" w:hint="eastAsia"/>
                <w:bCs/>
                <w:color w:val="000000"/>
                <w:kern w:val="0"/>
                <w:sz w:val="28"/>
                <w:szCs w:val="28"/>
              </w:rPr>
              <w:t>进展顺利</w:t>
            </w:r>
            <w:r>
              <w:rPr>
                <w:rFonts w:ascii="方正仿宋_GBK" w:eastAsia="方正仿宋_GBK" w:hAnsi="仿宋_GB2312" w:cs="仿宋_GB2312" w:hint="eastAsia"/>
                <w:bCs/>
                <w:color w:val="000000"/>
                <w:kern w:val="0"/>
                <w:sz w:val="28"/>
                <w:szCs w:val="28"/>
              </w:rPr>
              <w:t>。</w:t>
            </w:r>
            <w:r w:rsidR="003E40C2" w:rsidRPr="003E40C2">
              <w:rPr>
                <w:rFonts w:ascii="方正仿宋_GBK" w:eastAsia="方正仿宋_GBK" w:hAnsi="仿宋_GB2312" w:cs="仿宋_GB2312" w:hint="eastAsia"/>
                <w:bCs/>
                <w:color w:val="000000"/>
                <w:kern w:val="0"/>
                <w:sz w:val="28"/>
                <w:szCs w:val="28"/>
              </w:rPr>
              <w:t>江津区政府已完成</w:t>
            </w:r>
            <w:r>
              <w:rPr>
                <w:rFonts w:ascii="方正仿宋_GBK" w:eastAsia="方正仿宋_GBK" w:hAnsi="仿宋_GB2312" w:cs="仿宋_GB2312" w:hint="eastAsia"/>
                <w:bCs/>
                <w:color w:val="000000"/>
                <w:kern w:val="0"/>
                <w:sz w:val="28"/>
                <w:szCs w:val="28"/>
              </w:rPr>
              <w:t>约150亩项</w:t>
            </w:r>
            <w:r>
              <w:rPr>
                <w:rFonts w:ascii="方正仿宋_GBK" w:eastAsia="方正仿宋_GBK" w:hAnsi="仿宋_GB2312" w:cs="仿宋_GB2312"/>
                <w:bCs/>
                <w:color w:val="000000"/>
                <w:kern w:val="0"/>
                <w:sz w:val="28"/>
                <w:szCs w:val="28"/>
              </w:rPr>
              <w:t>目用地</w:t>
            </w:r>
            <w:r w:rsidR="003E40C2" w:rsidRPr="003E40C2">
              <w:rPr>
                <w:rFonts w:ascii="方正仿宋_GBK" w:eastAsia="方正仿宋_GBK" w:hAnsi="仿宋_GB2312" w:cs="仿宋_GB2312" w:hint="eastAsia"/>
                <w:bCs/>
                <w:color w:val="000000"/>
                <w:kern w:val="0"/>
                <w:sz w:val="28"/>
                <w:szCs w:val="28"/>
              </w:rPr>
              <w:t>的回收与用途调整；</w:t>
            </w:r>
            <w:r>
              <w:rPr>
                <w:rFonts w:ascii="方正仿宋_GBK" w:eastAsia="方正仿宋_GBK" w:hAnsi="仿宋_GB2312" w:cs="仿宋_GB2312" w:hint="eastAsia"/>
                <w:bCs/>
                <w:color w:val="000000"/>
                <w:kern w:val="0"/>
                <w:sz w:val="28"/>
                <w:szCs w:val="28"/>
              </w:rPr>
              <w:t>重庆</w:t>
            </w:r>
            <w:r>
              <w:rPr>
                <w:rFonts w:ascii="方正仿宋_GBK" w:eastAsia="方正仿宋_GBK" w:hAnsi="仿宋_GB2312" w:cs="仿宋_GB2312"/>
                <w:bCs/>
                <w:color w:val="000000"/>
                <w:kern w:val="0"/>
                <w:sz w:val="28"/>
                <w:szCs w:val="28"/>
              </w:rPr>
              <w:t>港</w:t>
            </w:r>
            <w:r>
              <w:rPr>
                <w:rFonts w:ascii="方正仿宋_GBK" w:eastAsia="方正仿宋_GBK" w:hAnsi="仿宋_GB2312" w:cs="仿宋_GB2312" w:hint="eastAsia"/>
                <w:bCs/>
                <w:color w:val="000000"/>
                <w:kern w:val="0"/>
                <w:sz w:val="28"/>
                <w:szCs w:val="28"/>
              </w:rPr>
              <w:t>已</w:t>
            </w:r>
            <w:r>
              <w:rPr>
                <w:rFonts w:ascii="方正仿宋_GBK" w:eastAsia="方正仿宋_GBK" w:hAnsi="仿宋_GB2312" w:cs="仿宋_GB2312"/>
                <w:bCs/>
                <w:color w:val="000000"/>
                <w:kern w:val="0"/>
                <w:sz w:val="28"/>
                <w:szCs w:val="28"/>
              </w:rPr>
              <w:t>完成</w:t>
            </w:r>
            <w:r w:rsidR="003E40C2" w:rsidRPr="003E40C2">
              <w:rPr>
                <w:rFonts w:ascii="方正仿宋_GBK" w:eastAsia="方正仿宋_GBK" w:hAnsi="仿宋_GB2312" w:cs="仿宋_GB2312" w:hint="eastAsia"/>
                <w:bCs/>
                <w:color w:val="000000"/>
                <w:kern w:val="0"/>
                <w:sz w:val="28"/>
                <w:szCs w:val="28"/>
              </w:rPr>
              <w:t>项目</w:t>
            </w:r>
            <w:r>
              <w:rPr>
                <w:rFonts w:ascii="方正仿宋_GBK" w:eastAsia="方正仿宋_GBK" w:hAnsi="仿宋_GB2312" w:cs="仿宋_GB2312" w:hint="eastAsia"/>
                <w:bCs/>
                <w:color w:val="000000"/>
                <w:kern w:val="0"/>
                <w:sz w:val="28"/>
                <w:szCs w:val="28"/>
              </w:rPr>
              <w:t>投</w:t>
            </w:r>
            <w:r>
              <w:rPr>
                <w:rFonts w:ascii="方正仿宋_GBK" w:eastAsia="方正仿宋_GBK" w:hAnsi="仿宋_GB2312" w:cs="仿宋_GB2312"/>
                <w:bCs/>
                <w:color w:val="000000"/>
                <w:kern w:val="0"/>
                <w:sz w:val="28"/>
                <w:szCs w:val="28"/>
              </w:rPr>
              <w:t>资</w:t>
            </w:r>
            <w:r>
              <w:rPr>
                <w:rFonts w:ascii="方正仿宋_GBK" w:eastAsia="方正仿宋_GBK" w:hAnsi="仿宋_GB2312" w:cs="仿宋_GB2312" w:hint="eastAsia"/>
                <w:bCs/>
                <w:color w:val="000000"/>
                <w:kern w:val="0"/>
                <w:sz w:val="28"/>
                <w:szCs w:val="28"/>
              </w:rPr>
              <w:t>立</w:t>
            </w:r>
            <w:r>
              <w:rPr>
                <w:rFonts w:ascii="方正仿宋_GBK" w:eastAsia="方正仿宋_GBK" w:hAnsi="仿宋_GB2312" w:cs="仿宋_GB2312"/>
                <w:bCs/>
                <w:color w:val="000000"/>
                <w:kern w:val="0"/>
                <w:sz w:val="28"/>
                <w:szCs w:val="28"/>
              </w:rPr>
              <w:t>项</w:t>
            </w:r>
            <w:r>
              <w:rPr>
                <w:rFonts w:ascii="方正仿宋_GBK" w:eastAsia="方正仿宋_GBK" w:hAnsi="仿宋_GB2312" w:cs="仿宋_GB2312" w:hint="eastAsia"/>
                <w:bCs/>
                <w:color w:val="000000"/>
                <w:kern w:val="0"/>
                <w:sz w:val="28"/>
                <w:szCs w:val="28"/>
              </w:rPr>
              <w:t>内部</w:t>
            </w:r>
            <w:r>
              <w:rPr>
                <w:rFonts w:ascii="方正仿宋_GBK" w:eastAsia="方正仿宋_GBK" w:hAnsi="仿宋_GB2312" w:cs="仿宋_GB2312"/>
                <w:bCs/>
                <w:color w:val="000000"/>
                <w:kern w:val="0"/>
                <w:sz w:val="28"/>
                <w:szCs w:val="28"/>
              </w:rPr>
              <w:t>决策程序</w:t>
            </w:r>
            <w:r w:rsidR="003E40C2" w:rsidRPr="003E40C2">
              <w:rPr>
                <w:rFonts w:ascii="方正仿宋_GBK" w:eastAsia="方正仿宋_GBK" w:hAnsi="仿宋_GB2312" w:cs="仿宋_GB2312" w:hint="eastAsia"/>
                <w:bCs/>
                <w:color w:val="000000"/>
                <w:kern w:val="0"/>
                <w:sz w:val="28"/>
                <w:szCs w:val="28"/>
              </w:rPr>
              <w:t>；可行性研究报告正在编制中。项目计划于2026年取得土地使用权，力争2027年开工建设，2030年建成投运。</w:t>
            </w:r>
          </w:p>
          <w:p w:rsidR="00922500" w:rsidRPr="003E40C2" w:rsidRDefault="003E40C2"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仿宋_GB2312" w:cs="仿宋_GB2312" w:hint="eastAsia"/>
                <w:bCs/>
                <w:color w:val="000000"/>
                <w:kern w:val="0"/>
                <w:sz w:val="28"/>
                <w:szCs w:val="28"/>
              </w:rPr>
              <w:t>为控制建设成本，公司将通过优化项目设计、争取补贴与</w:t>
            </w:r>
            <w:r w:rsidR="00F21C7B">
              <w:rPr>
                <w:rFonts w:ascii="方正仿宋_GBK" w:eastAsia="方正仿宋_GBK" w:hAnsi="仿宋_GB2312" w:cs="仿宋_GB2312" w:hint="eastAsia"/>
                <w:bCs/>
                <w:color w:val="000000"/>
                <w:kern w:val="0"/>
                <w:sz w:val="28"/>
                <w:szCs w:val="28"/>
              </w:rPr>
              <w:t>加</w:t>
            </w:r>
            <w:r w:rsidR="00F21C7B">
              <w:rPr>
                <w:rFonts w:ascii="方正仿宋_GBK" w:eastAsia="方正仿宋_GBK" w:hAnsi="仿宋_GB2312" w:cs="仿宋_GB2312"/>
                <w:bCs/>
                <w:color w:val="000000"/>
                <w:kern w:val="0"/>
                <w:sz w:val="28"/>
                <w:szCs w:val="28"/>
              </w:rPr>
              <w:t>大</w:t>
            </w:r>
            <w:r w:rsidRPr="003E40C2">
              <w:rPr>
                <w:rFonts w:ascii="方正仿宋_GBK" w:eastAsia="方正仿宋_GBK" w:hAnsi="仿宋_GB2312" w:cs="仿宋_GB2312" w:hint="eastAsia"/>
                <w:bCs/>
                <w:color w:val="000000"/>
                <w:kern w:val="0"/>
                <w:sz w:val="28"/>
                <w:szCs w:val="28"/>
              </w:rPr>
              <w:t>自有资金投入</w:t>
            </w:r>
            <w:r w:rsidR="00F21C7B">
              <w:rPr>
                <w:rFonts w:ascii="方正仿宋_GBK" w:eastAsia="方正仿宋_GBK" w:hAnsi="仿宋_GB2312" w:cs="仿宋_GB2312" w:hint="eastAsia"/>
                <w:bCs/>
                <w:color w:val="000000"/>
                <w:kern w:val="0"/>
                <w:sz w:val="28"/>
                <w:szCs w:val="28"/>
              </w:rPr>
              <w:t>比</w:t>
            </w:r>
            <w:r w:rsidR="00F21C7B">
              <w:rPr>
                <w:rFonts w:ascii="方正仿宋_GBK" w:eastAsia="方正仿宋_GBK" w:hAnsi="仿宋_GB2312" w:cs="仿宋_GB2312"/>
                <w:bCs/>
                <w:color w:val="000000"/>
                <w:kern w:val="0"/>
                <w:sz w:val="28"/>
                <w:szCs w:val="28"/>
              </w:rPr>
              <w:t>例</w:t>
            </w:r>
            <w:r w:rsidR="00F21C7B">
              <w:rPr>
                <w:rFonts w:ascii="方正仿宋_GBK" w:eastAsia="方正仿宋_GBK" w:hAnsi="仿宋_GB2312" w:cs="仿宋_GB2312" w:hint="eastAsia"/>
                <w:bCs/>
                <w:color w:val="000000"/>
                <w:kern w:val="0"/>
                <w:sz w:val="28"/>
                <w:szCs w:val="28"/>
              </w:rPr>
              <w:t>从而</w:t>
            </w:r>
            <w:r w:rsidRPr="003E40C2">
              <w:rPr>
                <w:rFonts w:ascii="方正仿宋_GBK" w:eastAsia="方正仿宋_GBK" w:hAnsi="仿宋_GB2312" w:cs="仿宋_GB2312" w:hint="eastAsia"/>
                <w:bCs/>
                <w:color w:val="000000"/>
                <w:kern w:val="0"/>
                <w:sz w:val="28"/>
                <w:szCs w:val="28"/>
              </w:rPr>
              <w:t>降低融资</w:t>
            </w:r>
            <w:r w:rsidR="00F21C7B">
              <w:rPr>
                <w:rFonts w:ascii="方正仿宋_GBK" w:eastAsia="方正仿宋_GBK" w:hAnsi="仿宋_GB2312" w:cs="仿宋_GB2312" w:hint="eastAsia"/>
                <w:bCs/>
                <w:color w:val="000000"/>
                <w:kern w:val="0"/>
                <w:sz w:val="28"/>
                <w:szCs w:val="28"/>
              </w:rPr>
              <w:t>成本</w:t>
            </w:r>
            <w:r w:rsidRPr="003E40C2">
              <w:rPr>
                <w:rFonts w:ascii="方正仿宋_GBK" w:eastAsia="方正仿宋_GBK" w:hAnsi="仿宋_GB2312" w:cs="仿宋_GB2312" w:hint="eastAsia"/>
                <w:bCs/>
                <w:color w:val="000000"/>
                <w:kern w:val="0"/>
                <w:sz w:val="28"/>
                <w:szCs w:val="28"/>
              </w:rPr>
              <w:t>、</w:t>
            </w:r>
            <w:bookmarkStart w:id="2" w:name="_GoBack"/>
            <w:bookmarkEnd w:id="2"/>
            <w:r w:rsidRPr="003E40C2">
              <w:rPr>
                <w:rFonts w:ascii="方正仿宋_GBK" w:eastAsia="方正仿宋_GBK" w:hAnsi="仿宋_GB2312" w:cs="仿宋_GB2312" w:hint="eastAsia"/>
                <w:bCs/>
                <w:color w:val="000000"/>
                <w:kern w:val="0"/>
                <w:sz w:val="28"/>
                <w:szCs w:val="28"/>
              </w:rPr>
              <w:t>加强全过程的预算与支出管理。同时，公司已对项目风险进行评估并认为总体可控，将持续关注并防范预算、工期及市场效益等方面的潜在风险，确保项目投资可控、稳步推进。</w:t>
            </w:r>
          </w:p>
          <w:p w:rsidR="00922500" w:rsidRPr="00922500" w:rsidRDefault="00922500" w:rsidP="003E40C2">
            <w:pPr>
              <w:widowControl/>
              <w:spacing w:line="440" w:lineRule="exact"/>
              <w:ind w:firstLineChars="200" w:firstLine="560"/>
              <w:rPr>
                <w:rFonts w:ascii="方正黑体_GBK" w:eastAsia="方正黑体_GBK" w:hAnsi="仿宋_GB2312" w:cs="仿宋_GB2312"/>
                <w:bCs/>
                <w:color w:val="000000"/>
                <w:kern w:val="0"/>
                <w:sz w:val="28"/>
                <w:szCs w:val="28"/>
              </w:rPr>
            </w:pPr>
            <w:bookmarkStart w:id="3" w:name="OLE_LINK20"/>
            <w:r w:rsidRPr="003E40C2">
              <w:rPr>
                <w:rFonts w:ascii="方正黑体_GBK" w:eastAsia="方正黑体_GBK" w:hAnsi="仿宋_GB2312" w:cs="仿宋_GB2312" w:hint="eastAsia"/>
                <w:bCs/>
                <w:color w:val="000000"/>
                <w:kern w:val="0"/>
                <w:sz w:val="28"/>
                <w:szCs w:val="28"/>
              </w:rPr>
              <w:lastRenderedPageBreak/>
              <w:t>五、</w:t>
            </w:r>
            <w:proofErr w:type="gramStart"/>
            <w:r w:rsidR="003E40C2" w:rsidRPr="003E40C2">
              <w:rPr>
                <w:rFonts w:ascii="方正黑体_GBK" w:eastAsia="方正黑体_GBK" w:hAnsi="仿宋_GB2312" w:cs="仿宋_GB2312" w:hint="eastAsia"/>
                <w:bCs/>
                <w:color w:val="000000"/>
                <w:kern w:val="0"/>
                <w:sz w:val="28"/>
                <w:szCs w:val="28"/>
              </w:rPr>
              <w:t>江津港</w:t>
            </w:r>
            <w:proofErr w:type="gramEnd"/>
            <w:r w:rsidR="003E40C2" w:rsidRPr="003E40C2">
              <w:rPr>
                <w:rFonts w:ascii="方正黑体_GBK" w:eastAsia="方正黑体_GBK" w:hAnsi="仿宋_GB2312" w:cs="仿宋_GB2312" w:hint="eastAsia"/>
                <w:bCs/>
                <w:color w:val="000000"/>
                <w:kern w:val="0"/>
                <w:sz w:val="28"/>
                <w:szCs w:val="28"/>
              </w:rPr>
              <w:t>项目计划2030年完工，建设周期较长，期间公司将如何应对市场需求变化、原材料价格波动等潜在风险，确保项目达成预期效益？</w:t>
            </w:r>
          </w:p>
          <w:p w:rsidR="00922500" w:rsidRPr="00922500" w:rsidRDefault="003E40C2"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仿宋_GB2312" w:cs="仿宋_GB2312" w:hint="eastAsia"/>
                <w:bCs/>
                <w:color w:val="000000"/>
                <w:kern w:val="0"/>
                <w:sz w:val="28"/>
                <w:szCs w:val="28"/>
              </w:rPr>
              <w:t>为应对</w:t>
            </w:r>
            <w:proofErr w:type="gramStart"/>
            <w:r w:rsidRPr="003E40C2">
              <w:rPr>
                <w:rFonts w:ascii="方正仿宋_GBK" w:eastAsia="方正仿宋_GBK" w:hAnsi="仿宋_GB2312" w:cs="仿宋_GB2312" w:hint="eastAsia"/>
                <w:bCs/>
                <w:color w:val="000000"/>
                <w:kern w:val="0"/>
                <w:sz w:val="28"/>
                <w:szCs w:val="28"/>
              </w:rPr>
              <w:t>江津港</w:t>
            </w:r>
            <w:proofErr w:type="gramEnd"/>
            <w:r w:rsidRPr="003E40C2">
              <w:rPr>
                <w:rFonts w:ascii="方正仿宋_GBK" w:eastAsia="方正仿宋_GBK" w:hAnsi="仿宋_GB2312" w:cs="仿宋_GB2312" w:hint="eastAsia"/>
                <w:bCs/>
                <w:color w:val="000000"/>
                <w:kern w:val="0"/>
                <w:sz w:val="28"/>
                <w:szCs w:val="28"/>
              </w:rPr>
              <w:t>二期改扩建项目长周期建设中的市场需求变化与原材料价格波动等潜在风险，确保达成预期投资效益，公司已制定系统性保障策略：在市场端，将通过签署长期协议锁定核心客户基础货量，并积极对接国家物流枢纽、多式联运示范工程等政策，依托政策红利获取稳定货源。在设计端，采用“核心先行、预留拓展”的弹性模式进行规划，使码头与堆场具备可扩展性，并提升设备通用性以灵活适配未来货种变化。在成本与资金端，将积极申报政策性资金以对冲投资风险，并通过优化融资结构、加强全过程预算</w:t>
            </w:r>
            <w:proofErr w:type="gramStart"/>
            <w:r w:rsidRPr="003E40C2">
              <w:rPr>
                <w:rFonts w:ascii="方正仿宋_GBK" w:eastAsia="方正仿宋_GBK" w:hAnsi="仿宋_GB2312" w:cs="仿宋_GB2312" w:hint="eastAsia"/>
                <w:bCs/>
                <w:color w:val="000000"/>
                <w:kern w:val="0"/>
                <w:sz w:val="28"/>
                <w:szCs w:val="28"/>
              </w:rPr>
              <w:t>管控来严控</w:t>
            </w:r>
            <w:proofErr w:type="gramEnd"/>
            <w:r w:rsidRPr="003E40C2">
              <w:rPr>
                <w:rFonts w:ascii="方正仿宋_GBK" w:eastAsia="方正仿宋_GBK" w:hAnsi="仿宋_GB2312" w:cs="仿宋_GB2312" w:hint="eastAsia"/>
                <w:bCs/>
                <w:color w:val="000000"/>
                <w:kern w:val="0"/>
                <w:sz w:val="28"/>
                <w:szCs w:val="28"/>
              </w:rPr>
              <w:t>建设成本。这些措施共同构成了覆盖项目全生命周期的动态风险管理框架，旨在保障项目投运后的市场竞争力和预期经济效益。</w:t>
            </w:r>
          </w:p>
          <w:bookmarkEnd w:id="3"/>
          <w:p w:rsidR="003B675A" w:rsidRPr="003B675A" w:rsidRDefault="0078250E" w:rsidP="003B675A">
            <w:pPr>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六</w:t>
            </w:r>
            <w:r w:rsidR="00922500" w:rsidRPr="00922500">
              <w:rPr>
                <w:rFonts w:ascii="方正黑体_GBK" w:eastAsia="方正黑体_GBK" w:hAnsi="仿宋_GB2312" w:cs="仿宋_GB2312" w:hint="eastAsia"/>
                <w:bCs/>
                <w:color w:val="000000"/>
                <w:kern w:val="0"/>
                <w:sz w:val="28"/>
                <w:szCs w:val="28"/>
              </w:rPr>
              <w:t>、</w:t>
            </w:r>
            <w:r w:rsidR="003E40C2">
              <w:rPr>
                <w:rFonts w:ascii="方正黑体_GBK" w:eastAsia="方正黑体_GBK" w:hAnsi="仿宋_GB2312" w:cs="仿宋_GB2312" w:hint="eastAsia"/>
                <w:bCs/>
                <w:color w:val="000000"/>
                <w:kern w:val="0"/>
                <w:sz w:val="28"/>
                <w:szCs w:val="28"/>
              </w:rPr>
              <w:t>2024</w:t>
            </w:r>
            <w:r w:rsidR="003E40C2" w:rsidRPr="003E40C2">
              <w:rPr>
                <w:rFonts w:ascii="方正黑体_GBK" w:eastAsia="方正黑体_GBK" w:hAnsi="仿宋_GB2312" w:cs="仿宋_GB2312" w:hint="eastAsia"/>
                <w:bCs/>
                <w:color w:val="000000"/>
                <w:kern w:val="0"/>
                <w:sz w:val="28"/>
                <w:szCs w:val="28"/>
              </w:rPr>
              <w:t>年公司新增3处无水港并拓展了西部陆海新通道班列始发站，目前无水</w:t>
            </w:r>
            <w:proofErr w:type="gramStart"/>
            <w:r w:rsidR="003E40C2" w:rsidRPr="003E40C2">
              <w:rPr>
                <w:rFonts w:ascii="方正黑体_GBK" w:eastAsia="方正黑体_GBK" w:hAnsi="仿宋_GB2312" w:cs="仿宋_GB2312" w:hint="eastAsia"/>
                <w:bCs/>
                <w:color w:val="000000"/>
                <w:kern w:val="0"/>
                <w:sz w:val="28"/>
                <w:szCs w:val="28"/>
              </w:rPr>
              <w:t>港网络</w:t>
            </w:r>
            <w:proofErr w:type="gramEnd"/>
            <w:r w:rsidR="003E40C2" w:rsidRPr="003E40C2">
              <w:rPr>
                <w:rFonts w:ascii="方正黑体_GBK" w:eastAsia="方正黑体_GBK" w:hAnsi="仿宋_GB2312" w:cs="仿宋_GB2312" w:hint="eastAsia"/>
                <w:bCs/>
                <w:color w:val="000000"/>
                <w:kern w:val="0"/>
                <w:sz w:val="28"/>
                <w:szCs w:val="28"/>
              </w:rPr>
              <w:t>的运营效率、货源辐射范围如何？在深化成渝双城经济圈及川南地区市场覆盖方面有何进一步计划？</w:t>
            </w:r>
          </w:p>
          <w:p w:rsidR="003E40C2" w:rsidRPr="003E40C2" w:rsidRDefault="003E40C2"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仿宋_GB2312" w:cs="仿宋_GB2312" w:hint="eastAsia"/>
                <w:bCs/>
                <w:color w:val="000000"/>
                <w:kern w:val="0"/>
                <w:sz w:val="28"/>
                <w:szCs w:val="28"/>
              </w:rPr>
              <w:t>2025年以来，重庆港已陆续建成四川广安、青海西宁、新疆瓜州等6个无水港，进一步推动整合西部物流资源，强化重庆港对西部货源集散能力。目前重庆港已挂牌无水港11个，累计带来散货增量150万吨以上，集装箱增量近12000TEU。</w:t>
            </w:r>
          </w:p>
          <w:p w:rsidR="00922500" w:rsidRPr="00922500" w:rsidRDefault="003E40C2" w:rsidP="003E40C2">
            <w:pPr>
              <w:widowControl/>
              <w:spacing w:line="440" w:lineRule="exact"/>
              <w:ind w:firstLineChars="200" w:firstLine="560"/>
              <w:rPr>
                <w:rFonts w:ascii="方正仿宋_GBK" w:eastAsia="方正仿宋_GBK" w:hAnsi="仿宋_GB2312" w:cs="仿宋_GB2312"/>
                <w:b/>
                <w:bCs/>
                <w:color w:val="000000"/>
                <w:kern w:val="0"/>
                <w:sz w:val="28"/>
                <w:szCs w:val="28"/>
              </w:rPr>
            </w:pPr>
            <w:r w:rsidRPr="003E40C2">
              <w:rPr>
                <w:rFonts w:ascii="方正仿宋_GBK" w:eastAsia="方正仿宋_GBK" w:hAnsi="仿宋_GB2312" w:cs="仿宋_GB2312" w:hint="eastAsia"/>
                <w:bCs/>
                <w:color w:val="000000"/>
                <w:kern w:val="0"/>
                <w:sz w:val="28"/>
                <w:szCs w:val="28"/>
              </w:rPr>
              <w:t>未来，重庆港持续在西部陆海新通道“13+2”省市布局无水港，与内陆地区铁路站场、公路货运站建立货源互荐、线路共营机制，吸引跨区域货源在重庆港集并。加强与四川地区港口联系，接轨“千里轻舟”项目，常态化运行长江+嘉陵江、金沙江、乌江的“1+N”干支联动航线，</w:t>
            </w:r>
            <w:proofErr w:type="gramStart"/>
            <w:r w:rsidRPr="003E40C2">
              <w:rPr>
                <w:rFonts w:ascii="方正仿宋_GBK" w:eastAsia="方正仿宋_GBK" w:hAnsi="仿宋_GB2312" w:cs="仿宋_GB2312" w:hint="eastAsia"/>
                <w:bCs/>
                <w:color w:val="000000"/>
                <w:kern w:val="0"/>
                <w:sz w:val="28"/>
                <w:szCs w:val="28"/>
              </w:rPr>
              <w:t>做优重庆</w:t>
            </w:r>
            <w:proofErr w:type="gramEnd"/>
            <w:r w:rsidRPr="003E40C2">
              <w:rPr>
                <w:rFonts w:ascii="方正仿宋_GBK" w:eastAsia="方正仿宋_GBK" w:hAnsi="仿宋_GB2312" w:cs="仿宋_GB2312" w:hint="eastAsia"/>
                <w:bCs/>
                <w:color w:val="000000"/>
                <w:kern w:val="0"/>
                <w:sz w:val="28"/>
                <w:szCs w:val="28"/>
              </w:rPr>
              <w:t>至四川泸州、宜宾、广元、</w:t>
            </w:r>
            <w:r w:rsidRPr="003E40C2">
              <w:rPr>
                <w:rFonts w:ascii="方正仿宋_GBK" w:eastAsia="方正仿宋_GBK" w:hAnsi="仿宋_GB2312" w:cs="仿宋_GB2312" w:hint="eastAsia"/>
                <w:bCs/>
                <w:color w:val="000000"/>
                <w:kern w:val="0"/>
                <w:sz w:val="28"/>
                <w:szCs w:val="28"/>
              </w:rPr>
              <w:lastRenderedPageBreak/>
              <w:t>广安集装箱水</w:t>
            </w:r>
            <w:proofErr w:type="gramStart"/>
            <w:r w:rsidRPr="003E40C2">
              <w:rPr>
                <w:rFonts w:ascii="方正仿宋_GBK" w:eastAsia="方正仿宋_GBK" w:hAnsi="仿宋_GB2312" w:cs="仿宋_GB2312" w:hint="eastAsia"/>
                <w:bCs/>
                <w:color w:val="000000"/>
                <w:kern w:val="0"/>
                <w:sz w:val="28"/>
                <w:szCs w:val="28"/>
              </w:rPr>
              <w:t>水</w:t>
            </w:r>
            <w:proofErr w:type="gramEnd"/>
            <w:r w:rsidRPr="003E40C2">
              <w:rPr>
                <w:rFonts w:ascii="方正仿宋_GBK" w:eastAsia="方正仿宋_GBK" w:hAnsi="仿宋_GB2312" w:cs="仿宋_GB2312" w:hint="eastAsia"/>
                <w:bCs/>
                <w:color w:val="000000"/>
                <w:kern w:val="0"/>
                <w:sz w:val="28"/>
                <w:szCs w:val="28"/>
              </w:rPr>
              <w:t>中转航线。通过无水港建设等方式谋划具体项目，持续降低成渝地区物流成本，带动双圈经济发展。</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七</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公司间接控股股东重庆物流集团正在与中国物流集团</w:t>
            </w:r>
            <w:proofErr w:type="gramStart"/>
            <w:r w:rsidR="00162FC4">
              <w:rPr>
                <w:rFonts w:ascii="方正黑体_GBK" w:eastAsia="方正黑体_GBK" w:hAnsi="仿宋_GB2312" w:cs="仿宋_GB2312" w:hint="eastAsia"/>
                <w:bCs/>
                <w:color w:val="000000"/>
                <w:kern w:val="0"/>
                <w:sz w:val="28"/>
                <w:szCs w:val="28"/>
              </w:rPr>
              <w:t>筹划国资战略</w:t>
            </w:r>
            <w:proofErr w:type="gramEnd"/>
            <w:r w:rsidR="00162FC4">
              <w:rPr>
                <w:rFonts w:ascii="方正黑体_GBK" w:eastAsia="方正黑体_GBK" w:hAnsi="仿宋_GB2312" w:cs="仿宋_GB2312" w:hint="eastAsia"/>
                <w:bCs/>
                <w:color w:val="000000"/>
                <w:kern w:val="0"/>
                <w:sz w:val="28"/>
                <w:szCs w:val="28"/>
              </w:rPr>
              <w:t>整合事宜，</w:t>
            </w:r>
            <w:r w:rsidR="00162FC4">
              <w:rPr>
                <w:rFonts w:ascii="方正黑体_GBK" w:eastAsia="方正黑体_GBK" w:hAnsi="仿宋_GB2312" w:cs="仿宋_GB2312"/>
                <w:bCs/>
                <w:color w:val="000000"/>
                <w:kern w:val="0"/>
                <w:sz w:val="28"/>
                <w:szCs w:val="28"/>
              </w:rPr>
              <w:t>进展如何？</w:t>
            </w:r>
          </w:p>
          <w:p w:rsidR="00922500" w:rsidRPr="00E36DF8"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中国物流集团和重庆物流集团战略整合或将导致重庆港控股股东和实际控制人发生变更，公司将严格按照信息披露相关规定及时履行信息披露义务，请关注公司后续公告。</w:t>
            </w:r>
          </w:p>
          <w:p w:rsidR="00BE55D0" w:rsidRPr="00180D21" w:rsidRDefault="00180D21"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180D21">
              <w:rPr>
                <w:rFonts w:ascii="方正黑体_GBK" w:eastAsia="方正黑体_GBK" w:hAnsi="仿宋_GB2312" w:cs="仿宋_GB2312" w:hint="eastAsia"/>
                <w:bCs/>
                <w:color w:val="000000"/>
                <w:kern w:val="0"/>
                <w:sz w:val="28"/>
                <w:szCs w:val="28"/>
              </w:rPr>
              <w:t>八</w:t>
            </w:r>
            <w:r w:rsidRPr="00180D21">
              <w:rPr>
                <w:rFonts w:ascii="方正黑体_GBK" w:eastAsia="方正黑体_GBK" w:hAnsi="仿宋_GB2312" w:cs="仿宋_GB2312"/>
                <w:bCs/>
                <w:color w:val="000000"/>
                <w:kern w:val="0"/>
                <w:sz w:val="28"/>
                <w:szCs w:val="28"/>
              </w:rPr>
              <w:t>、</w:t>
            </w:r>
            <w:r w:rsidR="003E40C2" w:rsidRPr="003E40C2">
              <w:rPr>
                <w:rFonts w:ascii="方正黑体_GBK" w:eastAsia="方正黑体_GBK" w:hAnsi="仿宋_GB2312" w:cs="仿宋_GB2312" w:hint="eastAsia"/>
                <w:bCs/>
                <w:color w:val="000000"/>
                <w:kern w:val="0"/>
                <w:sz w:val="28"/>
                <w:szCs w:val="28"/>
              </w:rPr>
              <w:t>公司在智慧港口建设方面已实现单证无纸化、远程操控等成果，</w:t>
            </w:r>
            <w:proofErr w:type="gramStart"/>
            <w:r w:rsidR="003E40C2" w:rsidRPr="003E40C2">
              <w:rPr>
                <w:rFonts w:ascii="方正黑体_GBK" w:eastAsia="方正黑体_GBK" w:hAnsi="仿宋_GB2312" w:cs="仿宋_GB2312" w:hint="eastAsia"/>
                <w:bCs/>
                <w:color w:val="000000"/>
                <w:kern w:val="0"/>
                <w:sz w:val="28"/>
                <w:szCs w:val="28"/>
              </w:rPr>
              <w:t>果园港有望</w:t>
            </w:r>
            <w:proofErr w:type="gramEnd"/>
            <w:r w:rsidR="003E40C2" w:rsidRPr="003E40C2">
              <w:rPr>
                <w:rFonts w:ascii="方正黑体_GBK" w:eastAsia="方正黑体_GBK" w:hAnsi="仿宋_GB2312" w:cs="仿宋_GB2312" w:hint="eastAsia"/>
                <w:bCs/>
                <w:color w:val="000000"/>
                <w:kern w:val="0"/>
                <w:sz w:val="28"/>
                <w:szCs w:val="28"/>
              </w:rPr>
              <w:t>成为长江上游首个“双四星港口”，请问当前数字化转型的重点落地场景有哪些？技术创新对港口作业效率的</w:t>
            </w:r>
            <w:proofErr w:type="gramStart"/>
            <w:r w:rsidR="003E40C2" w:rsidRPr="003E40C2">
              <w:rPr>
                <w:rFonts w:ascii="方正黑体_GBK" w:eastAsia="方正黑体_GBK" w:hAnsi="仿宋_GB2312" w:cs="仿宋_GB2312" w:hint="eastAsia"/>
                <w:bCs/>
                <w:color w:val="000000"/>
                <w:kern w:val="0"/>
                <w:sz w:val="28"/>
                <w:szCs w:val="28"/>
              </w:rPr>
              <w:t>提升成效</w:t>
            </w:r>
            <w:proofErr w:type="gramEnd"/>
            <w:r w:rsidR="003E40C2" w:rsidRPr="003E40C2">
              <w:rPr>
                <w:rFonts w:ascii="方正黑体_GBK" w:eastAsia="方正黑体_GBK" w:hAnsi="仿宋_GB2312" w:cs="仿宋_GB2312" w:hint="eastAsia"/>
                <w:bCs/>
                <w:color w:val="000000"/>
                <w:kern w:val="0"/>
                <w:sz w:val="28"/>
                <w:szCs w:val="28"/>
              </w:rPr>
              <w:t>如何量化？</w:t>
            </w:r>
          </w:p>
          <w:p w:rsidR="00180D21" w:rsidRDefault="003E40C2"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3E40C2">
              <w:rPr>
                <w:rFonts w:ascii="方正仿宋_GBK" w:eastAsia="方正仿宋_GBK" w:hAnsi="仿宋_GB2312" w:cs="仿宋_GB2312" w:hint="eastAsia"/>
                <w:bCs/>
                <w:color w:val="000000"/>
                <w:kern w:val="0"/>
                <w:sz w:val="28"/>
                <w:szCs w:val="28"/>
              </w:rPr>
              <w:t>当前数字化转型的重点落地场景果园港，</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已经成为长江上游首个“双四星港口”。打造首个长江上游“双四星”港口，</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智能化码头建设迈上新台阶。一是集装箱“无纸化平台”在</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全面上线运行，提货单、设备交接单全面电子化，单证办理时间由过去的最快2小时缩短到2分钟；二是</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实现卡口系统通过专线与海关物流监管系统及港口生产系统互联互通，创新实现卡口海关、港口双控放行模式，闸口通过效率降低到30秒以内；三是集装箱作业区全部32台</w:t>
            </w:r>
            <w:proofErr w:type="gramStart"/>
            <w:r w:rsidRPr="003E40C2">
              <w:rPr>
                <w:rFonts w:ascii="方正仿宋_GBK" w:eastAsia="方正仿宋_GBK" w:hAnsi="仿宋_GB2312" w:cs="仿宋_GB2312" w:hint="eastAsia"/>
                <w:bCs/>
                <w:color w:val="000000"/>
                <w:kern w:val="0"/>
                <w:sz w:val="28"/>
                <w:szCs w:val="28"/>
              </w:rPr>
              <w:t>场桥实现</w:t>
            </w:r>
            <w:proofErr w:type="gramEnd"/>
            <w:r w:rsidRPr="003E40C2">
              <w:rPr>
                <w:rFonts w:ascii="方正仿宋_GBK" w:eastAsia="方正仿宋_GBK" w:hAnsi="仿宋_GB2312" w:cs="仿宋_GB2312" w:hint="eastAsia"/>
                <w:bCs/>
                <w:color w:val="000000"/>
                <w:kern w:val="0"/>
                <w:sz w:val="28"/>
                <w:szCs w:val="28"/>
              </w:rPr>
              <w:t>远程操控，一名司机最多可管控</w:t>
            </w:r>
            <w:proofErr w:type="gramStart"/>
            <w:r w:rsidRPr="003E40C2">
              <w:rPr>
                <w:rFonts w:ascii="方正仿宋_GBK" w:eastAsia="方正仿宋_GBK" w:hAnsi="仿宋_GB2312" w:cs="仿宋_GB2312" w:hint="eastAsia"/>
                <w:bCs/>
                <w:color w:val="000000"/>
                <w:kern w:val="0"/>
                <w:sz w:val="28"/>
                <w:szCs w:val="28"/>
              </w:rPr>
              <w:t>6台场桥的</w:t>
            </w:r>
            <w:proofErr w:type="gramEnd"/>
            <w:r w:rsidRPr="003E40C2">
              <w:rPr>
                <w:rFonts w:ascii="方正仿宋_GBK" w:eastAsia="方正仿宋_GBK" w:hAnsi="仿宋_GB2312" w:cs="仿宋_GB2312" w:hint="eastAsia"/>
                <w:bCs/>
                <w:color w:val="000000"/>
                <w:kern w:val="0"/>
                <w:sz w:val="28"/>
                <w:szCs w:val="28"/>
              </w:rPr>
              <w:t>作业，整体效率可提升30%~60%左右，实现无人驾驶集卡和人工驾驶集卡混合运行；四是</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8台集装箱岸桥实现智能理货系统全覆盖，依托</w:t>
            </w:r>
            <w:proofErr w:type="gramStart"/>
            <w:r w:rsidRPr="003E40C2">
              <w:rPr>
                <w:rFonts w:ascii="方正仿宋_GBK" w:eastAsia="方正仿宋_GBK" w:hAnsi="仿宋_GB2312" w:cs="仿宋_GB2312" w:hint="eastAsia"/>
                <w:bCs/>
                <w:color w:val="000000"/>
                <w:kern w:val="0"/>
                <w:sz w:val="28"/>
                <w:szCs w:val="28"/>
              </w:rPr>
              <w:t>果园港智能</w:t>
            </w:r>
            <w:proofErr w:type="gramEnd"/>
            <w:r w:rsidRPr="003E40C2">
              <w:rPr>
                <w:rFonts w:ascii="方正仿宋_GBK" w:eastAsia="方正仿宋_GBK" w:hAnsi="仿宋_GB2312" w:cs="仿宋_GB2312" w:hint="eastAsia"/>
                <w:bCs/>
                <w:color w:val="000000"/>
                <w:kern w:val="0"/>
                <w:sz w:val="28"/>
                <w:szCs w:val="28"/>
              </w:rPr>
              <w:t>理货系统、江面锚地划设电子围网等信息化手段，重庆港海关在</w:t>
            </w:r>
            <w:proofErr w:type="gramStart"/>
            <w:r w:rsidRPr="003E40C2">
              <w:rPr>
                <w:rFonts w:ascii="方正仿宋_GBK" w:eastAsia="方正仿宋_GBK" w:hAnsi="仿宋_GB2312" w:cs="仿宋_GB2312" w:hint="eastAsia"/>
                <w:bCs/>
                <w:color w:val="000000"/>
                <w:kern w:val="0"/>
                <w:sz w:val="28"/>
                <w:szCs w:val="28"/>
              </w:rPr>
              <w:t>果园港</w:t>
            </w:r>
            <w:proofErr w:type="gramEnd"/>
            <w:r w:rsidRPr="003E40C2">
              <w:rPr>
                <w:rFonts w:ascii="方正仿宋_GBK" w:eastAsia="方正仿宋_GBK" w:hAnsi="仿宋_GB2312" w:cs="仿宋_GB2312" w:hint="eastAsia"/>
                <w:bCs/>
                <w:color w:val="000000"/>
                <w:kern w:val="0"/>
                <w:sz w:val="28"/>
                <w:szCs w:val="28"/>
              </w:rPr>
              <w:t>监管场所实施了“船边放行、智能分流”创新监管模式，提高疏港效率30%以上。</w:t>
            </w:r>
          </w:p>
          <w:p w:rsidR="0054321D" w:rsidRPr="0054321D" w:rsidRDefault="0054321D"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54321D">
              <w:rPr>
                <w:rFonts w:ascii="方正黑体_GBK" w:eastAsia="方正黑体_GBK" w:hAnsi="仿宋_GB2312" w:cs="仿宋_GB2312" w:hint="eastAsia"/>
                <w:bCs/>
                <w:color w:val="000000"/>
                <w:kern w:val="0"/>
                <w:sz w:val="28"/>
                <w:szCs w:val="28"/>
              </w:rPr>
              <w:lastRenderedPageBreak/>
              <w:t>九、</w:t>
            </w:r>
            <w:r w:rsidRPr="0054321D">
              <w:rPr>
                <w:rFonts w:ascii="方正黑体_GBK" w:eastAsia="方正黑体_GBK" w:hAnsi="仿宋_GB2312" w:cs="仿宋_GB2312"/>
                <w:bCs/>
                <w:color w:val="000000"/>
                <w:kern w:val="0"/>
                <w:sz w:val="28"/>
                <w:szCs w:val="28"/>
              </w:rPr>
              <w:t>公司有没有拓展其他行业的打算？</w:t>
            </w:r>
          </w:p>
          <w:p w:rsidR="0054321D" w:rsidRDefault="0054321D"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54321D">
              <w:rPr>
                <w:rFonts w:ascii="方正仿宋_GBK" w:eastAsia="方正仿宋_GBK" w:hAnsi="仿宋_GB2312" w:cs="仿宋_GB2312" w:hint="eastAsia"/>
                <w:bCs/>
                <w:color w:val="000000"/>
                <w:kern w:val="0"/>
                <w:sz w:val="28"/>
                <w:szCs w:val="28"/>
              </w:rPr>
              <w:t>未来公司仍将聚焦主业、做精专业，不断提高发展质量，努力实现</w:t>
            </w:r>
            <w:proofErr w:type="gramStart"/>
            <w:r w:rsidRPr="0054321D">
              <w:rPr>
                <w:rFonts w:ascii="方正仿宋_GBK" w:eastAsia="方正仿宋_GBK" w:hAnsi="仿宋_GB2312" w:cs="仿宋_GB2312" w:hint="eastAsia"/>
                <w:bCs/>
                <w:color w:val="000000"/>
                <w:kern w:val="0"/>
                <w:sz w:val="28"/>
                <w:szCs w:val="28"/>
              </w:rPr>
              <w:t>做优做</w:t>
            </w:r>
            <w:proofErr w:type="gramEnd"/>
            <w:r w:rsidRPr="0054321D">
              <w:rPr>
                <w:rFonts w:ascii="方正仿宋_GBK" w:eastAsia="方正仿宋_GBK" w:hAnsi="仿宋_GB2312" w:cs="仿宋_GB2312" w:hint="eastAsia"/>
                <w:bCs/>
                <w:color w:val="000000"/>
                <w:kern w:val="0"/>
                <w:sz w:val="28"/>
                <w:szCs w:val="28"/>
              </w:rPr>
              <w:t>强，力争用更加优秀的经营业绩来回报广大投资者。</w:t>
            </w:r>
          </w:p>
          <w:p w:rsidR="0054321D" w:rsidRPr="0054321D" w:rsidRDefault="0054321D"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54321D">
              <w:rPr>
                <w:rFonts w:ascii="方正黑体_GBK" w:eastAsia="方正黑体_GBK" w:hAnsi="仿宋_GB2312" w:cs="仿宋_GB2312" w:hint="eastAsia"/>
                <w:bCs/>
                <w:color w:val="000000"/>
                <w:kern w:val="0"/>
                <w:sz w:val="28"/>
                <w:szCs w:val="28"/>
              </w:rPr>
              <w:t>十、股价长期在净资产之下，贵</w:t>
            </w:r>
            <w:proofErr w:type="gramStart"/>
            <w:r w:rsidRPr="0054321D">
              <w:rPr>
                <w:rFonts w:ascii="方正黑体_GBK" w:eastAsia="方正黑体_GBK" w:hAnsi="仿宋_GB2312" w:cs="仿宋_GB2312" w:hint="eastAsia"/>
                <w:bCs/>
                <w:color w:val="000000"/>
                <w:kern w:val="0"/>
                <w:sz w:val="28"/>
                <w:szCs w:val="28"/>
              </w:rPr>
              <w:t>司如何</w:t>
            </w:r>
            <w:proofErr w:type="gramEnd"/>
            <w:r w:rsidRPr="0054321D">
              <w:rPr>
                <w:rFonts w:ascii="方正黑体_GBK" w:eastAsia="方正黑体_GBK" w:hAnsi="仿宋_GB2312" w:cs="仿宋_GB2312" w:hint="eastAsia"/>
                <w:bCs/>
                <w:color w:val="000000"/>
                <w:kern w:val="0"/>
                <w:sz w:val="28"/>
                <w:szCs w:val="28"/>
              </w:rPr>
              <w:t>看待这个问题？</w:t>
            </w:r>
          </w:p>
          <w:p w:rsidR="0054321D" w:rsidRPr="0054321D" w:rsidRDefault="0054321D"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54321D">
              <w:rPr>
                <w:rFonts w:ascii="方正仿宋_GBK" w:eastAsia="方正仿宋_GBK" w:hAnsi="仿宋_GB2312" w:cs="仿宋_GB2312" w:hint="eastAsia"/>
                <w:bCs/>
                <w:color w:val="000000"/>
                <w:kern w:val="0"/>
                <w:sz w:val="28"/>
                <w:szCs w:val="28"/>
              </w:rPr>
              <w:t>二级市场的</w:t>
            </w:r>
            <w:proofErr w:type="gramStart"/>
            <w:r w:rsidRPr="0054321D">
              <w:rPr>
                <w:rFonts w:ascii="方正仿宋_GBK" w:eastAsia="方正仿宋_GBK" w:hAnsi="仿宋_GB2312" w:cs="仿宋_GB2312" w:hint="eastAsia"/>
                <w:bCs/>
                <w:color w:val="000000"/>
                <w:kern w:val="0"/>
                <w:sz w:val="28"/>
                <w:szCs w:val="28"/>
              </w:rPr>
              <w:t>股价受</w:t>
            </w:r>
            <w:proofErr w:type="gramEnd"/>
            <w:r w:rsidRPr="0054321D">
              <w:rPr>
                <w:rFonts w:ascii="方正仿宋_GBK" w:eastAsia="方正仿宋_GBK" w:hAnsi="仿宋_GB2312" w:cs="仿宋_GB2312" w:hint="eastAsia"/>
                <w:bCs/>
                <w:color w:val="000000"/>
                <w:kern w:val="0"/>
                <w:sz w:val="28"/>
                <w:szCs w:val="28"/>
              </w:rPr>
              <w:t>宏观经济、市场形势、投资者情绪等多种因素影响，具有不确定性，还请注意投资风险。公司将持续提升核心竞争力和盈利能力，推动公司价值提升。</w:t>
            </w:r>
          </w:p>
        </w:tc>
      </w:tr>
      <w:tr w:rsidR="00AA3D57" w:rsidRPr="00BE55D0" w:rsidTr="00E9788F">
        <w:trPr>
          <w:trHeight w:val="630"/>
          <w:jc w:val="center"/>
        </w:trPr>
        <w:tc>
          <w:tcPr>
            <w:tcW w:w="2552" w:type="dxa"/>
            <w:vAlign w:val="center"/>
          </w:tcPr>
          <w:p w:rsidR="00AA3D57" w:rsidRDefault="00AA3D57" w:rsidP="00AA3D57">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附件清单（如有）</w:t>
            </w:r>
          </w:p>
        </w:tc>
        <w:tc>
          <w:tcPr>
            <w:tcW w:w="6663" w:type="dxa"/>
            <w:vAlign w:val="center"/>
          </w:tcPr>
          <w:p w:rsidR="00AA3D57" w:rsidRPr="00584E7D" w:rsidRDefault="00AA3D57" w:rsidP="00AA3D57">
            <w:pPr>
              <w:jc w:val="left"/>
              <w:rPr>
                <w:rFonts w:ascii="宋体" w:eastAsia="宋体" w:hAnsi="宋体"/>
                <w:color w:val="000000" w:themeColor="text1"/>
                <w:sz w:val="28"/>
                <w:szCs w:val="28"/>
              </w:rPr>
            </w:pPr>
            <w:r w:rsidRPr="00584E7D">
              <w:rPr>
                <w:rFonts w:ascii="宋体" w:eastAsia="宋体" w:hAnsi="宋体"/>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98" w:rsidRDefault="00140198">
      <w:r>
        <w:separator/>
      </w:r>
    </w:p>
  </w:endnote>
  <w:endnote w:type="continuationSeparator" w:id="0">
    <w:p w:rsidR="00140198" w:rsidRDefault="0014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charset w:val="86"/>
    <w:family w:val="auto"/>
    <w:pitch w:val="default"/>
    <w:sig w:usb0="A00002FF" w:usb1="7ACFFDFB" w:usb2="00000017" w:usb3="00000000" w:csb0="00040001" w:csb1="00000000"/>
  </w:font>
  <w:font w:name="Helvetica Neue">
    <w:charset w:val="00"/>
    <w:family w:val="auto"/>
    <w:pitch w:val="default"/>
    <w:sig w:usb0="E50002FF" w:usb1="500079DB"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98" w:rsidRDefault="00140198">
      <w:r>
        <w:separator/>
      </w:r>
    </w:p>
  </w:footnote>
  <w:footnote w:type="continuationSeparator" w:id="0">
    <w:p w:rsidR="00140198" w:rsidRDefault="00140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0198"/>
    <w:rsid w:val="001435CC"/>
    <w:rsid w:val="001565FC"/>
    <w:rsid w:val="00162408"/>
    <w:rsid w:val="00162FC4"/>
    <w:rsid w:val="00164862"/>
    <w:rsid w:val="00175C6D"/>
    <w:rsid w:val="00175EDC"/>
    <w:rsid w:val="001761C2"/>
    <w:rsid w:val="00180D21"/>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44AE"/>
    <w:rsid w:val="001D664A"/>
    <w:rsid w:val="001E16A7"/>
    <w:rsid w:val="001E17B5"/>
    <w:rsid w:val="001E1E43"/>
    <w:rsid w:val="001E5631"/>
    <w:rsid w:val="001F5A2F"/>
    <w:rsid w:val="001F5E6C"/>
    <w:rsid w:val="00202745"/>
    <w:rsid w:val="00210B66"/>
    <w:rsid w:val="00214410"/>
    <w:rsid w:val="002208B7"/>
    <w:rsid w:val="002253B4"/>
    <w:rsid w:val="00226EC9"/>
    <w:rsid w:val="00234ACD"/>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0890"/>
    <w:rsid w:val="00316D55"/>
    <w:rsid w:val="00326A08"/>
    <w:rsid w:val="003307FF"/>
    <w:rsid w:val="00334E01"/>
    <w:rsid w:val="00337D40"/>
    <w:rsid w:val="0034363F"/>
    <w:rsid w:val="00344FAB"/>
    <w:rsid w:val="003519F5"/>
    <w:rsid w:val="003559BD"/>
    <w:rsid w:val="00372377"/>
    <w:rsid w:val="003737DB"/>
    <w:rsid w:val="003758C0"/>
    <w:rsid w:val="00376AE7"/>
    <w:rsid w:val="00396C9D"/>
    <w:rsid w:val="00397A80"/>
    <w:rsid w:val="003A19A9"/>
    <w:rsid w:val="003A4828"/>
    <w:rsid w:val="003A56D7"/>
    <w:rsid w:val="003A6A5F"/>
    <w:rsid w:val="003B050E"/>
    <w:rsid w:val="003B675A"/>
    <w:rsid w:val="003C4053"/>
    <w:rsid w:val="003C5AB0"/>
    <w:rsid w:val="003C70CA"/>
    <w:rsid w:val="003E0602"/>
    <w:rsid w:val="003E1894"/>
    <w:rsid w:val="003E2D77"/>
    <w:rsid w:val="003E40C2"/>
    <w:rsid w:val="00403BA5"/>
    <w:rsid w:val="00405C63"/>
    <w:rsid w:val="004104AF"/>
    <w:rsid w:val="00410C2C"/>
    <w:rsid w:val="00413876"/>
    <w:rsid w:val="004236E6"/>
    <w:rsid w:val="00426A96"/>
    <w:rsid w:val="00431207"/>
    <w:rsid w:val="00432E9D"/>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21D"/>
    <w:rsid w:val="005436F7"/>
    <w:rsid w:val="00544814"/>
    <w:rsid w:val="005466D9"/>
    <w:rsid w:val="005571F1"/>
    <w:rsid w:val="0056034C"/>
    <w:rsid w:val="00565C42"/>
    <w:rsid w:val="00574E39"/>
    <w:rsid w:val="005853D5"/>
    <w:rsid w:val="00586A8D"/>
    <w:rsid w:val="00590371"/>
    <w:rsid w:val="005941DC"/>
    <w:rsid w:val="005A2A33"/>
    <w:rsid w:val="005B0415"/>
    <w:rsid w:val="005B3DDA"/>
    <w:rsid w:val="005B55C1"/>
    <w:rsid w:val="005C4077"/>
    <w:rsid w:val="005D199D"/>
    <w:rsid w:val="005D1C48"/>
    <w:rsid w:val="005D24DE"/>
    <w:rsid w:val="005D5248"/>
    <w:rsid w:val="005D59A8"/>
    <w:rsid w:val="005E60C3"/>
    <w:rsid w:val="00620D56"/>
    <w:rsid w:val="006215AD"/>
    <w:rsid w:val="00631256"/>
    <w:rsid w:val="00643E13"/>
    <w:rsid w:val="00647B19"/>
    <w:rsid w:val="006511B6"/>
    <w:rsid w:val="00655538"/>
    <w:rsid w:val="0065575D"/>
    <w:rsid w:val="00656367"/>
    <w:rsid w:val="006567F8"/>
    <w:rsid w:val="00656E3F"/>
    <w:rsid w:val="006604C6"/>
    <w:rsid w:val="00663180"/>
    <w:rsid w:val="0066541D"/>
    <w:rsid w:val="0066656C"/>
    <w:rsid w:val="006768E7"/>
    <w:rsid w:val="00687AF0"/>
    <w:rsid w:val="006915BE"/>
    <w:rsid w:val="006A51CF"/>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6524"/>
    <w:rsid w:val="007D18F9"/>
    <w:rsid w:val="007D4F27"/>
    <w:rsid w:val="007D702A"/>
    <w:rsid w:val="007E36B2"/>
    <w:rsid w:val="007E6011"/>
    <w:rsid w:val="007F0B66"/>
    <w:rsid w:val="007F14CE"/>
    <w:rsid w:val="00800409"/>
    <w:rsid w:val="00803E9D"/>
    <w:rsid w:val="0080691A"/>
    <w:rsid w:val="0081571D"/>
    <w:rsid w:val="008254EC"/>
    <w:rsid w:val="0083148C"/>
    <w:rsid w:val="00832C5B"/>
    <w:rsid w:val="00833931"/>
    <w:rsid w:val="00835E78"/>
    <w:rsid w:val="008466C1"/>
    <w:rsid w:val="0085119E"/>
    <w:rsid w:val="00857770"/>
    <w:rsid w:val="008646BC"/>
    <w:rsid w:val="0086746D"/>
    <w:rsid w:val="00881CF9"/>
    <w:rsid w:val="00885ED2"/>
    <w:rsid w:val="008925D1"/>
    <w:rsid w:val="00895CF5"/>
    <w:rsid w:val="008A3B9A"/>
    <w:rsid w:val="008A6EC2"/>
    <w:rsid w:val="008B15F1"/>
    <w:rsid w:val="008B7802"/>
    <w:rsid w:val="008C17F5"/>
    <w:rsid w:val="008D1114"/>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4CA0"/>
    <w:rsid w:val="009354EC"/>
    <w:rsid w:val="009536D0"/>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6DEE"/>
    <w:rsid w:val="00AB0F33"/>
    <w:rsid w:val="00AB2A9E"/>
    <w:rsid w:val="00AB4927"/>
    <w:rsid w:val="00AC704D"/>
    <w:rsid w:val="00AD38C6"/>
    <w:rsid w:val="00AE7E21"/>
    <w:rsid w:val="00AF13B9"/>
    <w:rsid w:val="00AF14EF"/>
    <w:rsid w:val="00B00CEB"/>
    <w:rsid w:val="00B05CF0"/>
    <w:rsid w:val="00B074EE"/>
    <w:rsid w:val="00B17519"/>
    <w:rsid w:val="00B178FA"/>
    <w:rsid w:val="00B23C5B"/>
    <w:rsid w:val="00B31041"/>
    <w:rsid w:val="00B341E4"/>
    <w:rsid w:val="00B4267E"/>
    <w:rsid w:val="00B5041F"/>
    <w:rsid w:val="00B5153C"/>
    <w:rsid w:val="00B542C8"/>
    <w:rsid w:val="00B55D87"/>
    <w:rsid w:val="00B606F2"/>
    <w:rsid w:val="00B63949"/>
    <w:rsid w:val="00B6534F"/>
    <w:rsid w:val="00B7197F"/>
    <w:rsid w:val="00B763FA"/>
    <w:rsid w:val="00B7683B"/>
    <w:rsid w:val="00B90E59"/>
    <w:rsid w:val="00BA1132"/>
    <w:rsid w:val="00BA3717"/>
    <w:rsid w:val="00BA47EB"/>
    <w:rsid w:val="00BA4F95"/>
    <w:rsid w:val="00BB0592"/>
    <w:rsid w:val="00BB0882"/>
    <w:rsid w:val="00BC144C"/>
    <w:rsid w:val="00BD4B1B"/>
    <w:rsid w:val="00BE2665"/>
    <w:rsid w:val="00BE4394"/>
    <w:rsid w:val="00BE55D0"/>
    <w:rsid w:val="00BF4B68"/>
    <w:rsid w:val="00BF53F3"/>
    <w:rsid w:val="00C01EDD"/>
    <w:rsid w:val="00C01FB2"/>
    <w:rsid w:val="00C07F0D"/>
    <w:rsid w:val="00C1486C"/>
    <w:rsid w:val="00C256C0"/>
    <w:rsid w:val="00C358A0"/>
    <w:rsid w:val="00C405F6"/>
    <w:rsid w:val="00C44E63"/>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1D22"/>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17CA3"/>
    <w:rsid w:val="00E226D9"/>
    <w:rsid w:val="00E2566B"/>
    <w:rsid w:val="00E30BF6"/>
    <w:rsid w:val="00E36DF8"/>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17DDC"/>
    <w:rsid w:val="00F21C7B"/>
    <w:rsid w:val="00F26913"/>
    <w:rsid w:val="00F27D7F"/>
    <w:rsid w:val="00F320D0"/>
    <w:rsid w:val="00F32123"/>
    <w:rsid w:val="00F47098"/>
    <w:rsid w:val="00F47A41"/>
    <w:rsid w:val="00F52A63"/>
    <w:rsid w:val="00F71DD6"/>
    <w:rsid w:val="00F725BD"/>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416</Words>
  <Characters>2373</Characters>
  <Application>Microsoft Office Word</Application>
  <DocSecurity>0</DocSecurity>
  <Lines>19</Lines>
  <Paragraphs>5</Paragraphs>
  <ScaleCrop>false</ScaleCrop>
  <Company>tj.com</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dc:creator>
  <cp:lastModifiedBy>DH</cp:lastModifiedBy>
  <cp:revision>2</cp:revision>
  <cp:lastPrinted>2025-12-09T03:44:00Z</cp:lastPrinted>
  <dcterms:created xsi:type="dcterms:W3CDTF">2025-12-09T07:15:00Z</dcterms:created>
  <dcterms:modified xsi:type="dcterms:W3CDTF">2025-12-09T07:15:00Z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