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1079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075B6545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7BFD3917"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 w14:paraId="246B40D4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Calibri" w:eastAsia="仿宋_GB2312" w:cs="Times New Roman"/>
          <w:color w:val="000000"/>
          <w:spacing w:val="12"/>
          <w:sz w:val="28"/>
          <w:szCs w:val="20"/>
          <w:lang w:val="en-US"/>
        </w:rPr>
        <w:t>15</w:t>
      </w:r>
      <w:r>
        <w:rPr>
          <w:rFonts w:hint="eastAsia" w:ascii="仿宋_GB2312" w:hAnsi="Calibri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30C3EDA4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BXy5mP9AQAA9QMAAA4AAABkcnMvZTJvRG9jLnhtbK1TzY7T&#10;MBC+I/EOlu80aVGWVdR0D1vKBUEl4AFc20ks+U8et2lfghdA4gYnjtx5G3Yfg7ETyrJceiAHZ+wZ&#10;f57vm5nlzdFocpABlLMNnc9KSqTlTijbNfTD+82za0ogMiuYdlY29CSB3qyePlkOvpYL1zstZCAI&#10;YqEefEP7GH1dFMB7aRjMnJcWna0LhkXchq4QgQ2IbnSxKMurYnBB+OC4BMDT9eikE2K4BNC1reJy&#10;7fjeSBtH1CA1i0gJeuWBrnK2bSt5fNu2ICPRDUWmMa/4CNq7tBarJau7wHyv+JQCuySFR5wMUxYf&#10;PUOtWWRkH9Q/UEbx4MC1ccadKUYiWRFkMS8fafOuZ15mLig1+LPo8P9g+ZvDNhAlsBMoscxgwe8+&#10;ff/58cv9j8+43n37SuZJpMFDjbG3dhumHfhtSIyPbTDpj1zIMQt7Ogsrj5FwPKyqan5dVpRw9F09&#10;rxJi8eeqDxBfSWdIMhqqlU2sWc0OryGOob9D0rG2ZMB8Fy9KrCJn2IMt1h5N45EH2C5fBqeV2Cit&#10;0xUI3e5WB3Jg2AebTYnflMNfYemVNYN+jMuuFMbqXjLx0goSTx4VsjgYNOVgpKBES5yjZOXIyJS+&#10;JBLpa5ugZe7SiWiSeRQ2WTsnTlidvQ+q61GYXIkiebAbsoJT56Z2e7hH++G0r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+1ktYAAAAIAQAADwAAAAAAAAABACAAAAAiAAAAZHJzL2Rvd25yZXYu&#10;eG1sUEsBAhQAFAAAAAgAh07iQBXy5mP9AQAA9QMAAA4AAAAAAAAAAQAgAAAAJQEAAGRycy9lMm9E&#10;b2MueG1sUEsFBgAAAAAGAAYAWQEAAJQ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2AE343D"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 w14:paraId="41BB343C"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广州航新航空科技股份有限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公司、</w:t>
      </w:r>
    </w:p>
    <w:p w14:paraId="0039CEFD"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王磊、余厚蜀、张文虎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采取出具</w:t>
      </w:r>
    </w:p>
    <w:p w14:paraId="275645AC"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警示函措施的决定</w:t>
      </w:r>
    </w:p>
    <w:p w14:paraId="429DBD40">
      <w:pPr>
        <w:adjustRightInd w:val="0"/>
        <w:snapToGrid w:val="0"/>
        <w:spacing w:beforeLines="0" w:afterLines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79A55F1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广州航新航空科技股份有限公司、王磊、余厚蜀、张文虎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00CC278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广州航新航空科技股份有限公司（以下简称航新科技或公司）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存在以下违规行为：</w:t>
      </w:r>
    </w:p>
    <w:p w14:paraId="141BC08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2025年5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，公司累计新增借款17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617万元，占2024年末经审计净资产的比例为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23.42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%，超过上年末净资产的20%，达到《公司债券发行与交易管理办法》（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证监会令第222号，下同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）规定的披露标准，公司未及时披露上述事项，直至2025年8月13日才在《关于累计新增借款超过上年末净资产百分之二十的公告》中补充披露。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上述情形违反了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《公司债券发行与交易管理办法》第五十四条的规定。</w:t>
      </w:r>
    </w:p>
    <w:p w14:paraId="713132D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航新科技董事长王磊、总经理余厚蜀、董事会秘书张文虎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对</w:t>
      </w:r>
      <w:r>
        <w:rPr>
          <w:rFonts w:hint="default" w:ascii="仿宋_GB2312" w:hAnsi="Calibri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上述违规行为负有主要责任。根据《公司债券发行与交易管理办法》第六十九条的规定，我局决定对航新科技、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王磊、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余厚蜀、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张文</w:t>
      </w:r>
      <w:r>
        <w:rPr>
          <w:rFonts w:hint="default" w:ascii="仿宋_GB2312" w:hAnsi="Calibri" w:eastAsia="仿宋_GB2312" w:cs="Times New Roman"/>
          <w:spacing w:val="0"/>
          <w:kern w:val="0"/>
          <w:sz w:val="32"/>
          <w:szCs w:val="32"/>
          <w:highlight w:val="none"/>
          <w:lang w:val="en" w:eastAsia="zh-CN"/>
        </w:rPr>
        <w:t>虎</w:t>
      </w:r>
      <w:r>
        <w:rPr>
          <w:rFonts w:hint="eastAsia" w:ascii="仿宋_GB2312" w:hAnsi="Calibri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采取出具警示函的行政监管措施。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你们应高度重视上述问题，采取有效措施切实整改，依法真实、准确、完整、及时、公平地履行信息披露义务；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同时你公司应于收到本决定书30日内向我局报送整改报告、内部问责情况，并抄报深圳证券交易所。</w:t>
      </w:r>
    </w:p>
    <w:p w14:paraId="3E2571D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Lines="0" w:after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pacing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如果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对本监督管理措施不服，可以在收到本决定书之日起60日内向中国证券监督管理委员会</w:t>
      </w:r>
      <w:r>
        <w:rPr>
          <w:rFonts w:hint="eastAsia" w:ascii="仿宋_GB2312" w:hAnsi="仿宋_GB2312" w:eastAsia="仿宋_GB2312" w:cs="Times New Roman"/>
          <w:sz w:val="32"/>
          <w:szCs w:val="32"/>
        </w:rPr>
        <w:t>提出行政复议申请；也可以在收到本决定书之日起6个月内向有管辖权的人民法院提起诉讼。复议与诉讼期间，上述监督管理措施不停止执行。</w:t>
      </w:r>
    </w:p>
    <w:p w14:paraId="30EC058F"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14F37D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65AD38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 w14:paraId="3982BFBF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52E34D8B"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0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2C29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6713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Calibri" w:eastAsia="黑体" w:cs="Times New Roman"/>
          <w:spacing w:val="8"/>
          <w:sz w:val="32"/>
          <w:szCs w:val="24"/>
        </w:rPr>
      </w:pPr>
    </w:p>
    <w:p w14:paraId="030B6B65">
      <w:pPr>
        <w:widowControl w:val="0"/>
        <w:snapToGrid w:val="0"/>
        <w:spacing w:line="360" w:lineRule="auto"/>
        <w:ind w:firstLine="0"/>
        <w:jc w:val="both"/>
        <w:textAlignment w:val="baseline"/>
        <w:rPr>
          <w:rFonts w:hint="eastAsia" w:ascii="宋体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6FD5EBBD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textAlignment w:val="auto"/>
        <w:rPr>
          <w:rFonts w:ascii="长城仿宋" w:hAnsi="Calibri" w:eastAsia="长城仿宋" w:cs="Times New Roman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抄送：证监会上市司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eastAsia="zh-CN"/>
        </w:rPr>
        <w:t>、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法治司；深圳证券交易所。</w:t>
      </w:r>
    </w:p>
    <w:p w14:paraId="1C06072C"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jc w:val="left"/>
        <w:textAlignment w:val="auto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12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 w14:paraId="557320B8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42417"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1CD8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1CD85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C44D"/>
    <w:rsid w:val="373FC44D"/>
    <w:rsid w:val="39C857AC"/>
    <w:rsid w:val="6CBF40B0"/>
    <w:rsid w:val="6F5F30B7"/>
    <w:rsid w:val="7747B6BE"/>
    <w:rsid w:val="79F760B6"/>
    <w:rsid w:val="7BF7B528"/>
    <w:rsid w:val="7BF9AD0C"/>
    <w:rsid w:val="7FF96CAD"/>
    <w:rsid w:val="7FFECDFB"/>
    <w:rsid w:val="BF7DE2B1"/>
    <w:rsid w:val="BFFE4D33"/>
    <w:rsid w:val="D3FE2CDE"/>
    <w:rsid w:val="DFF6BFF7"/>
    <w:rsid w:val="E3FFB740"/>
    <w:rsid w:val="EBBF0939"/>
    <w:rsid w:val="EF7D3D5C"/>
    <w:rsid w:val="F7F7927A"/>
    <w:rsid w:val="F9BFAF12"/>
    <w:rsid w:val="FDF3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647</Characters>
  <Lines>0</Lines>
  <Paragraphs>0</Paragraphs>
  <TotalTime>1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2025-11-02T06:42:00Z</dcterms:created>
  <dc:creator>刘旻浩</dc:creator>
  <cp:lastModifiedBy>浩HhAaOo</cp:lastModifiedBy>
  <dcterms:modified xsi:type="dcterms:W3CDTF">2025-12-22T01:43:15Z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A2E495753C3C93B7A3993B69FF10AE71</vt:lpwstr>
  </property>
  <property fmtid="{D5CDD505-2E9C-101B-9397-08002B2CF9AE}" pid="4" name="KSOTemplateDocerSaveRecord">
    <vt:lpwstr>eyJoZGlkIjoiNjU2MmJiM2M2ZTA1ZGNmNDFlZWJjMjc0YzcwNWNhNmIiLCJ1c2VySWQiOiIzNDUxMjgzMjIifQ==</vt:lpwstr>
  </property>
</Properties>
</file>