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AEFE2">
      <w:pPr>
        <w:pStyle w:val="2"/>
        <w:ind w:right="824"/>
        <w:jc w:val="center"/>
      </w:pPr>
      <w:r>
        <w:rPr>
          <w:rFonts w:hint="eastAsia"/>
          <w:lang w:val="en-US"/>
        </w:rPr>
        <w:t xml:space="preserve">      杭州格林达电子材料</w:t>
      </w:r>
      <w:r>
        <w:t>股份有限公司</w:t>
      </w:r>
    </w:p>
    <w:p w14:paraId="2CD1AB76">
      <w:pPr>
        <w:pStyle w:val="2"/>
        <w:ind w:right="824"/>
        <w:jc w:val="center"/>
      </w:pPr>
      <w:r>
        <w:rPr>
          <w:rFonts w:hint="eastAsia"/>
          <w:lang w:val="en-US"/>
        </w:rPr>
        <w:t xml:space="preserve">       </w:t>
      </w:r>
      <w:r>
        <w:t>投资者关系活动记录表</w:t>
      </w:r>
    </w:p>
    <w:p w14:paraId="02AB9919">
      <w:pPr>
        <w:spacing w:before="154" w:after="32"/>
        <w:ind w:right="679"/>
        <w:jc w:val="right"/>
        <w:rPr>
          <w:sz w:val="28"/>
        </w:rPr>
      </w:pPr>
      <w:r>
        <w:rPr>
          <w:sz w:val="28"/>
        </w:rPr>
        <w:t>编号：</w:t>
      </w:r>
      <w:r>
        <w:rPr>
          <w:rFonts w:hint="eastAsia"/>
          <w:sz w:val="28"/>
        </w:rPr>
        <w:t>2025-008</w:t>
      </w:r>
    </w:p>
    <w:tbl>
      <w:tblPr>
        <w:tblStyle w:val="5"/>
        <w:tblW w:w="8525" w:type="dxa"/>
        <w:tblInd w:w="7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77"/>
        <w:gridCol w:w="6148"/>
      </w:tblGrid>
      <w:tr w14:paraId="2FF66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trPr>
        <w:tc>
          <w:tcPr>
            <w:tcW w:w="2377" w:type="dxa"/>
          </w:tcPr>
          <w:p w14:paraId="0C1D15A6">
            <w:pPr>
              <w:pStyle w:val="9"/>
              <w:ind w:left="0"/>
              <w:rPr>
                <w:sz w:val="24"/>
              </w:rPr>
            </w:pPr>
          </w:p>
          <w:p w14:paraId="52D4324F">
            <w:pPr>
              <w:pStyle w:val="9"/>
              <w:spacing w:before="12"/>
              <w:ind w:left="0"/>
              <w:rPr>
                <w:sz w:val="31"/>
              </w:rPr>
            </w:pPr>
          </w:p>
          <w:p w14:paraId="319AE997">
            <w:pPr>
              <w:pStyle w:val="9"/>
              <w:rPr>
                <w:sz w:val="24"/>
              </w:rPr>
            </w:pPr>
            <w:r>
              <w:rPr>
                <w:sz w:val="24"/>
              </w:rPr>
              <w:t>投资者关系活动类别</w:t>
            </w:r>
          </w:p>
        </w:tc>
        <w:tc>
          <w:tcPr>
            <w:tcW w:w="6148" w:type="dxa"/>
          </w:tcPr>
          <w:p w14:paraId="1F001BCD">
            <w:pPr>
              <w:pStyle w:val="9"/>
              <w:tabs>
                <w:tab w:val="left" w:pos="2747"/>
              </w:tabs>
              <w:spacing w:before="64"/>
              <w:rPr>
                <w:sz w:val="24"/>
              </w:rPr>
            </w:pPr>
            <w:r>
              <w:rPr>
                <w:rFonts w:hint="eastAsia"/>
                <w:sz w:val="24"/>
              </w:rPr>
              <w:t>√</w:t>
            </w:r>
            <w:r>
              <w:rPr>
                <w:sz w:val="24"/>
              </w:rPr>
              <w:t>特定对象调研</w:t>
            </w:r>
            <w:r>
              <w:rPr>
                <w:sz w:val="24"/>
              </w:rPr>
              <w:tab/>
            </w:r>
            <w:r>
              <w:rPr>
                <w:sz w:val="24"/>
              </w:rPr>
              <w:t>□分析师会议</w:t>
            </w:r>
          </w:p>
          <w:p w14:paraId="6237480F">
            <w:pPr>
              <w:pStyle w:val="9"/>
              <w:tabs>
                <w:tab w:val="left" w:pos="2747"/>
              </w:tabs>
              <w:spacing w:before="130"/>
              <w:rPr>
                <w:sz w:val="24"/>
              </w:rPr>
            </w:pPr>
            <w:r>
              <w:rPr>
                <w:sz w:val="24"/>
              </w:rPr>
              <w:t>□媒体采访</w:t>
            </w:r>
            <w:r>
              <w:rPr>
                <w:sz w:val="24"/>
              </w:rPr>
              <w:tab/>
            </w:r>
            <w:r>
              <w:rPr>
                <w:sz w:val="24"/>
              </w:rPr>
              <w:t>□业绩说明会</w:t>
            </w:r>
          </w:p>
          <w:p w14:paraId="7DD45750">
            <w:pPr>
              <w:pStyle w:val="9"/>
              <w:tabs>
                <w:tab w:val="left" w:pos="2747"/>
              </w:tabs>
              <w:spacing w:before="126"/>
              <w:rPr>
                <w:sz w:val="24"/>
              </w:rPr>
            </w:pPr>
            <w:r>
              <w:rPr>
                <w:sz w:val="24"/>
              </w:rPr>
              <w:t>□新闻发布会</w:t>
            </w:r>
            <w:r>
              <w:rPr>
                <w:sz w:val="24"/>
              </w:rPr>
              <w:tab/>
            </w:r>
            <w:r>
              <w:rPr>
                <w:sz w:val="24"/>
              </w:rPr>
              <w:t>□路演活动</w:t>
            </w:r>
          </w:p>
          <w:p w14:paraId="56269F88">
            <w:pPr>
              <w:pStyle w:val="9"/>
              <w:spacing w:before="128"/>
              <w:rPr>
                <w:sz w:val="24"/>
              </w:rPr>
            </w:pPr>
            <w:r>
              <w:rPr>
                <w:sz w:val="24"/>
              </w:rPr>
              <w:t>□现场参观</w:t>
            </w:r>
          </w:p>
          <w:p w14:paraId="22C30DD5">
            <w:pPr>
              <w:pStyle w:val="9"/>
              <w:spacing w:before="127"/>
              <w:rPr>
                <w:sz w:val="24"/>
              </w:rPr>
            </w:pPr>
            <w:r>
              <w:rPr>
                <w:sz w:val="24"/>
              </w:rPr>
              <w:t>□其他（请文字说明其他活动内容）</w:t>
            </w:r>
          </w:p>
        </w:tc>
      </w:tr>
      <w:tr w14:paraId="27E03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2377" w:type="dxa"/>
          </w:tcPr>
          <w:p w14:paraId="1BD9B899">
            <w:pPr>
              <w:pStyle w:val="9"/>
              <w:spacing w:before="64"/>
              <w:rPr>
                <w:sz w:val="24"/>
              </w:rPr>
            </w:pPr>
            <w:r>
              <w:rPr>
                <w:sz w:val="24"/>
              </w:rPr>
              <w:t>活动参与人员</w:t>
            </w:r>
          </w:p>
        </w:tc>
        <w:tc>
          <w:tcPr>
            <w:tcW w:w="6148" w:type="dxa"/>
          </w:tcPr>
          <w:p w14:paraId="0A8B9502">
            <w:pPr>
              <w:pStyle w:val="9"/>
              <w:ind w:left="0"/>
              <w:rPr>
                <w:rFonts w:ascii="Times New Roman"/>
                <w:sz w:val="26"/>
              </w:rPr>
            </w:pPr>
            <w:r>
              <w:rPr>
                <w:rFonts w:hint="eastAsia" w:ascii="Times New Roman"/>
                <w:szCs w:val="20"/>
              </w:rPr>
              <w:t>勤辰资产，彼得明奇私募，申万宏源，伟星资本，圆信永丰基金，中银证券，中信建投，沃金投资，偕沣资产，百济资产，宏利基金，湘禾投资，申万菱信</w:t>
            </w:r>
          </w:p>
        </w:tc>
      </w:tr>
      <w:tr w14:paraId="13A0F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2377" w:type="dxa"/>
          </w:tcPr>
          <w:p w14:paraId="5F7FF5DE">
            <w:pPr>
              <w:pStyle w:val="9"/>
              <w:spacing w:before="64"/>
              <w:rPr>
                <w:sz w:val="24"/>
              </w:rPr>
            </w:pPr>
            <w:r>
              <w:rPr>
                <w:sz w:val="24"/>
              </w:rPr>
              <w:t>时间</w:t>
            </w:r>
          </w:p>
        </w:tc>
        <w:tc>
          <w:tcPr>
            <w:tcW w:w="6148" w:type="dxa"/>
          </w:tcPr>
          <w:p w14:paraId="4B082C86">
            <w:pPr>
              <w:pStyle w:val="9"/>
              <w:ind w:left="0"/>
              <w:rPr>
                <w:rFonts w:ascii="Times New Roman"/>
                <w:sz w:val="26"/>
              </w:rPr>
            </w:pPr>
            <w:r>
              <w:rPr>
                <w:rFonts w:hint="eastAsia" w:ascii="Times New Roman"/>
                <w:szCs w:val="20"/>
              </w:rPr>
              <w:t>2</w:t>
            </w:r>
            <w:r>
              <w:rPr>
                <w:rFonts w:ascii="Times New Roman"/>
                <w:szCs w:val="20"/>
              </w:rPr>
              <w:t>02</w:t>
            </w:r>
            <w:r>
              <w:rPr>
                <w:rFonts w:hint="eastAsia" w:ascii="Times New Roman"/>
                <w:szCs w:val="20"/>
              </w:rPr>
              <w:t>5.12.23下午2：00</w:t>
            </w:r>
          </w:p>
        </w:tc>
      </w:tr>
      <w:tr w14:paraId="0E13B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2377" w:type="dxa"/>
          </w:tcPr>
          <w:p w14:paraId="219387FF">
            <w:pPr>
              <w:pStyle w:val="9"/>
              <w:spacing w:before="64"/>
              <w:rPr>
                <w:sz w:val="24"/>
              </w:rPr>
            </w:pPr>
            <w:r>
              <w:rPr>
                <w:sz w:val="24"/>
              </w:rPr>
              <w:t>地点</w:t>
            </w:r>
          </w:p>
        </w:tc>
        <w:tc>
          <w:tcPr>
            <w:tcW w:w="6148" w:type="dxa"/>
          </w:tcPr>
          <w:p w14:paraId="33D50453">
            <w:pPr>
              <w:pStyle w:val="9"/>
              <w:ind w:left="0"/>
              <w:rPr>
                <w:rFonts w:ascii="Times New Roman"/>
                <w:sz w:val="26"/>
              </w:rPr>
            </w:pPr>
            <w:r>
              <w:rPr>
                <w:rFonts w:hint="eastAsia"/>
              </w:rPr>
              <w:t>格林达会议室</w:t>
            </w:r>
          </w:p>
        </w:tc>
      </w:tr>
      <w:tr w14:paraId="78BE5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2377" w:type="dxa"/>
          </w:tcPr>
          <w:p w14:paraId="03B0FE89">
            <w:pPr>
              <w:pStyle w:val="9"/>
              <w:spacing w:before="64"/>
              <w:rPr>
                <w:sz w:val="24"/>
              </w:rPr>
            </w:pPr>
            <w:r>
              <w:rPr>
                <w:rFonts w:hint="eastAsia"/>
                <w:sz w:val="24"/>
              </w:rPr>
              <w:t>上市公司接待人员</w:t>
            </w:r>
          </w:p>
        </w:tc>
        <w:tc>
          <w:tcPr>
            <w:tcW w:w="6148" w:type="dxa"/>
          </w:tcPr>
          <w:p w14:paraId="5A46A710">
            <w:pPr>
              <w:pStyle w:val="9"/>
              <w:rPr>
                <w:rFonts w:ascii="Times New Roman"/>
                <w:szCs w:val="20"/>
              </w:rPr>
            </w:pPr>
            <w:r>
              <w:rPr>
                <w:rFonts w:hint="eastAsia" w:ascii="Times New Roman"/>
                <w:szCs w:val="20"/>
              </w:rPr>
              <w:t>方伟华      总经理</w:t>
            </w:r>
          </w:p>
          <w:p w14:paraId="061D9705">
            <w:pPr>
              <w:pStyle w:val="9"/>
              <w:rPr>
                <w:rFonts w:ascii="Times New Roman"/>
                <w:szCs w:val="20"/>
              </w:rPr>
            </w:pPr>
            <w:r>
              <w:rPr>
                <w:rFonts w:hint="eastAsia" w:ascii="Times New Roman"/>
                <w:szCs w:val="20"/>
              </w:rPr>
              <w:t>章琪</w:t>
            </w:r>
            <w:r>
              <w:rPr>
                <w:rFonts w:ascii="Times New Roman"/>
                <w:szCs w:val="20"/>
              </w:rPr>
              <w:t xml:space="preserve"> </w:t>
            </w:r>
            <w:r>
              <w:rPr>
                <w:rFonts w:hint="eastAsia" w:ascii="Times New Roman"/>
                <w:szCs w:val="20"/>
              </w:rPr>
              <w:t xml:space="preserve">         董事会秘书</w:t>
            </w:r>
          </w:p>
          <w:p w14:paraId="3821837E">
            <w:pPr>
              <w:pStyle w:val="9"/>
              <w:rPr>
                <w:rFonts w:ascii="Times New Roman"/>
                <w:sz w:val="26"/>
              </w:rPr>
            </w:pPr>
            <w:r>
              <w:rPr>
                <w:rFonts w:hint="eastAsia" w:ascii="Times New Roman"/>
                <w:szCs w:val="20"/>
              </w:rPr>
              <w:t>王责宇</w:t>
            </w:r>
            <w:r>
              <w:rPr>
                <w:rFonts w:ascii="Times New Roman"/>
                <w:szCs w:val="20"/>
              </w:rPr>
              <w:t xml:space="preserve"> </w:t>
            </w:r>
            <w:r>
              <w:rPr>
                <w:rFonts w:hint="eastAsia" w:ascii="Times New Roman"/>
                <w:szCs w:val="20"/>
              </w:rPr>
              <w:t xml:space="preserve">     证券事务专员</w:t>
            </w:r>
          </w:p>
        </w:tc>
      </w:tr>
      <w:tr w14:paraId="41889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7" w:hRule="atLeast"/>
        </w:trPr>
        <w:tc>
          <w:tcPr>
            <w:tcW w:w="2377" w:type="dxa"/>
          </w:tcPr>
          <w:p w14:paraId="1D513ADD">
            <w:pPr>
              <w:pStyle w:val="9"/>
              <w:spacing w:before="67"/>
              <w:rPr>
                <w:sz w:val="24"/>
              </w:rPr>
            </w:pPr>
            <w:r>
              <w:rPr>
                <w:sz w:val="24"/>
              </w:rPr>
              <w:t>交流内容及具体问答</w:t>
            </w:r>
          </w:p>
          <w:p w14:paraId="504BE76F">
            <w:pPr>
              <w:pStyle w:val="9"/>
              <w:spacing w:before="127"/>
              <w:rPr>
                <w:sz w:val="24"/>
              </w:rPr>
            </w:pPr>
            <w:r>
              <w:rPr>
                <w:sz w:val="24"/>
              </w:rPr>
              <w:t>记录</w:t>
            </w:r>
          </w:p>
        </w:tc>
        <w:tc>
          <w:tcPr>
            <w:tcW w:w="6148" w:type="dxa"/>
          </w:tcPr>
          <w:p w14:paraId="315E9054">
            <w:pPr>
              <w:spacing w:line="360" w:lineRule="auto"/>
              <w:rPr>
                <w:rFonts w:hint="default" w:eastAsia="仿宋"/>
                <w:lang w:val="en-US" w:eastAsia="zh-CN"/>
              </w:rPr>
            </w:pPr>
            <w:r>
              <w:rPr>
                <w:rFonts w:hint="eastAsia"/>
              </w:rPr>
              <w:t>1、请问公司目前在</w:t>
            </w:r>
            <w:r>
              <w:rPr>
                <w:rFonts w:hint="eastAsia"/>
                <w:lang w:val="en-US"/>
              </w:rPr>
              <w:t>半导体</w:t>
            </w:r>
            <w:r>
              <w:rPr>
                <w:rFonts w:hint="eastAsia"/>
              </w:rPr>
              <w:t>领域的项目</w:t>
            </w:r>
            <w:r>
              <w:rPr>
                <w:rFonts w:hint="eastAsia"/>
                <w:lang w:val="en-US"/>
              </w:rPr>
              <w:t>进展</w:t>
            </w:r>
            <w:r>
              <w:rPr>
                <w:rFonts w:hint="eastAsia"/>
              </w:rPr>
              <w:t>如何？</w:t>
            </w:r>
            <w:r>
              <w:rPr>
                <w:rFonts w:hint="eastAsia"/>
                <w:lang w:val="en-US" w:eastAsia="zh-CN"/>
              </w:rPr>
              <w:t>导入测试的情况如何？</w:t>
            </w:r>
          </w:p>
          <w:p w14:paraId="39B750A3">
            <w:pPr>
              <w:spacing w:line="360" w:lineRule="auto"/>
            </w:pPr>
            <w:r>
              <w:t>A:</w:t>
            </w:r>
            <w:r>
              <w:rPr>
                <w:rFonts w:hint="eastAsia"/>
              </w:rPr>
              <w:t>公司承接的工信部"集成电路制造产线零部件、材料和关键设备关键材料研发及产业化验证项目"，正与国内芯片龙头企业联合开展大规模集成电路用图形化显影液产品的研发及产业化应用验证，目前该项目已处于整体验收阶段，公司正稳步推进项目验收收尾工作，进展顺利。</w:t>
            </w:r>
            <w:r>
              <w:rPr>
                <w:rFonts w:hint="eastAsia"/>
                <w:lang w:val="en-US" w:eastAsia="zh-CN"/>
              </w:rPr>
              <w:t>当前，</w:t>
            </w:r>
            <w:r>
              <w:rPr>
                <w:rFonts w:hint="eastAsia"/>
              </w:rPr>
              <w:t>公司把握市场机遇</w:t>
            </w:r>
            <w:r>
              <w:rPr>
                <w:rFonts w:hint="eastAsia"/>
                <w:lang w:val="en-US" w:eastAsia="zh-CN"/>
              </w:rPr>
              <w:t>和测试导入机会</w:t>
            </w:r>
            <w:r>
              <w:rPr>
                <w:rFonts w:hint="eastAsia"/>
              </w:rPr>
              <w:t>，积极推动产品在半导体集成电路企业及其他领域的产线验证工作，未来也将持续深化与产业链上下游的协同合作，致力于实现中高端集成电路产线的产业化规模应用，增强产业链自主可控性。</w:t>
            </w:r>
          </w:p>
          <w:p w14:paraId="0F1543A7">
            <w:pPr>
              <w:spacing w:line="360" w:lineRule="auto"/>
            </w:pPr>
          </w:p>
          <w:p w14:paraId="489D5571">
            <w:pPr>
              <w:spacing w:line="360" w:lineRule="auto"/>
              <w:rPr>
                <w:rFonts w:hint="default"/>
                <w:lang w:val="en-US"/>
              </w:rPr>
            </w:pPr>
            <w:r>
              <w:rPr>
                <w:rFonts w:hint="eastAsia"/>
              </w:rPr>
              <w:t>2、公司</w:t>
            </w:r>
            <w:r>
              <w:rPr>
                <w:rFonts w:hint="eastAsia"/>
                <w:lang w:val="en-US" w:eastAsia="zh-CN"/>
              </w:rPr>
              <w:t>产品的市占率是多少？竞争力如何？</w:t>
            </w:r>
          </w:p>
          <w:p w14:paraId="56E3B880">
            <w:pPr>
              <w:spacing w:line="360" w:lineRule="auto"/>
            </w:pPr>
            <w:r>
              <w:t>A:</w:t>
            </w:r>
            <w:r>
              <w:rPr>
                <w:rFonts w:hint="eastAsia"/>
              </w:rPr>
              <w:t>公司系工信部认定的第六批制造业单项冠军示范企业，</w:t>
            </w:r>
            <w:r>
              <w:rPr>
                <w:rFonts w:hint="eastAsia"/>
                <w:lang w:val="en-US"/>
              </w:rPr>
              <w:t>在湿电子化学品领域具备显著的竞争优势。公司在研发创新能力、产品品控管理、配套服务能力、生产工艺和客户资源等多个方面处于国内领先地位。</w:t>
            </w:r>
          </w:p>
          <w:p w14:paraId="7929E847">
            <w:pPr>
              <w:spacing w:line="360" w:lineRule="auto"/>
            </w:pPr>
          </w:p>
          <w:p w14:paraId="57C0ED91">
            <w:pPr>
              <w:spacing w:line="360" w:lineRule="auto"/>
              <w:rPr>
                <w:lang w:val="en-US"/>
              </w:rPr>
            </w:pPr>
            <w:r>
              <w:rPr>
                <w:rFonts w:hint="eastAsia"/>
              </w:rPr>
              <w:t>3、</w:t>
            </w:r>
            <w:r>
              <w:rPr>
                <w:rFonts w:hint="eastAsia"/>
                <w:lang w:val="en-US"/>
              </w:rPr>
              <w:t>公司产品价格目前如何</w:t>
            </w:r>
            <w:r>
              <w:rPr>
                <w:rFonts w:hint="eastAsia"/>
              </w:rPr>
              <w:t>？</w:t>
            </w:r>
          </w:p>
          <w:p w14:paraId="1F66C498">
            <w:pPr>
              <w:spacing w:line="360" w:lineRule="auto"/>
            </w:pPr>
            <w:r>
              <w:t>A:</w:t>
            </w:r>
            <w:r>
              <w:rPr>
                <w:rFonts w:hint="eastAsia"/>
                <w:lang w:val="en-US"/>
              </w:rPr>
              <w:t>公司以销定产，确保生产经营与市场需求相匹配，在确保销售价格体现公司产品质量和技术优势的前提下，根据公司战略规划、经营目标、产品市场需求、竞争格局、运输方式和距离等情况，在保证一定毛利率的基础上，参考客户额外要求及回款期限等因素确定销售价格，</w:t>
            </w:r>
            <w:r>
              <w:rPr>
                <w:rFonts w:hint="eastAsia"/>
                <w:lang w:val="en-US" w:eastAsia="zh-CN"/>
              </w:rPr>
              <w:t>公司产品</w:t>
            </w:r>
            <w:r>
              <w:rPr>
                <w:rFonts w:hint="eastAsia"/>
                <w:lang w:val="en-US"/>
              </w:rPr>
              <w:t>的毛利率</w:t>
            </w:r>
            <w:r>
              <w:rPr>
                <w:rFonts w:hint="eastAsia"/>
                <w:lang w:val="en-US" w:eastAsia="zh-CN"/>
              </w:rPr>
              <w:t>保持在稳定健康的水平，财务稳健</w:t>
            </w:r>
            <w:r>
              <w:rPr>
                <w:rFonts w:hint="eastAsia"/>
              </w:rPr>
              <w:t>。</w:t>
            </w:r>
          </w:p>
          <w:p w14:paraId="4490CACB">
            <w:pPr>
              <w:spacing w:line="360" w:lineRule="auto"/>
            </w:pPr>
          </w:p>
          <w:p w14:paraId="01C0A3D8">
            <w:pPr>
              <w:spacing w:line="360" w:lineRule="auto"/>
              <w:rPr>
                <w:lang w:val="en-US"/>
              </w:rPr>
            </w:pPr>
            <w:r>
              <w:rPr>
                <w:rFonts w:hint="eastAsia"/>
              </w:rPr>
              <w:t>4、</w:t>
            </w:r>
            <w:r>
              <w:rPr>
                <w:rFonts w:hint="eastAsia"/>
                <w:lang w:val="en-US"/>
              </w:rPr>
              <w:t>四川工厂的产能利用率如何？</w:t>
            </w:r>
          </w:p>
          <w:p w14:paraId="5EFB311D">
            <w:pPr>
              <w:spacing w:line="360" w:lineRule="auto"/>
              <w:rPr>
                <w:rFonts w:hint="default" w:eastAsia="仿宋"/>
                <w:lang w:val="en-US" w:eastAsia="zh-CN"/>
              </w:rPr>
            </w:pPr>
            <w:r>
              <w:t>A:</w:t>
            </w:r>
            <w:r>
              <w:rPr>
                <w:rFonts w:hint="eastAsia"/>
                <w:lang w:val="en-US"/>
              </w:rPr>
              <w:t>四川工厂在2024年第三季度获得安全生产许可证后，积极推进产线测试与转厂验证等多项工作，目前</w:t>
            </w:r>
            <w:r>
              <w:rPr>
                <w:rFonts w:hint="eastAsia"/>
              </w:rPr>
              <w:t>公司核心产品已在体系客户LCD 和OLED 的多条重要产线测试成功，由格林达四川工厂导入并实现量供，产能逐步释放。</w:t>
            </w:r>
            <w:r>
              <w:rPr>
                <w:rFonts w:hint="eastAsia"/>
                <w:lang w:val="en-US" w:eastAsia="zh-CN"/>
              </w:rPr>
              <w:t>受益于西南地区集成电路半导体产业侧重规划，</w:t>
            </w:r>
            <w:r>
              <w:rPr>
                <w:rFonts w:hint="eastAsia"/>
              </w:rPr>
              <w:t>四川工厂可以就近对下游企业进行配套</w:t>
            </w:r>
            <w:r>
              <w:rPr>
                <w:rFonts w:hint="eastAsia"/>
                <w:lang w:eastAsia="zh-CN"/>
              </w:rPr>
              <w:t>。</w:t>
            </w:r>
            <w:r>
              <w:rPr>
                <w:rFonts w:hint="eastAsia"/>
                <w:lang w:val="en-US" w:eastAsia="zh-CN"/>
              </w:rPr>
              <w:t>市场拓展方面，</w:t>
            </w:r>
            <w:r>
              <w:rPr>
                <w:rFonts w:hint="eastAsia"/>
              </w:rPr>
              <w:t>公司</w:t>
            </w:r>
            <w:r>
              <w:rPr>
                <w:rFonts w:hint="eastAsia"/>
                <w:lang w:val="en-US" w:eastAsia="zh-CN"/>
              </w:rPr>
              <w:t>也在持续</w:t>
            </w:r>
            <w:r>
              <w:rPr>
                <w:rFonts w:hint="eastAsia"/>
              </w:rPr>
              <w:t>开拓西南地区新的体系客户。</w:t>
            </w:r>
            <w:r>
              <w:rPr>
                <w:rFonts w:hint="eastAsia"/>
                <w:lang w:val="en-US" w:eastAsia="zh-CN"/>
              </w:rPr>
              <w:t>四川工厂的产能利用率数据将在定期报告中披露。</w:t>
            </w:r>
          </w:p>
          <w:p w14:paraId="1D82B3E2">
            <w:pPr>
              <w:spacing w:line="360" w:lineRule="auto"/>
            </w:pPr>
          </w:p>
          <w:p w14:paraId="46169812">
            <w:pPr>
              <w:spacing w:line="360" w:lineRule="auto"/>
              <w:rPr>
                <w:lang w:val="en-US"/>
              </w:rPr>
            </w:pPr>
            <w:r>
              <w:rPr>
                <w:rFonts w:hint="eastAsia"/>
                <w:lang w:val="en-US"/>
              </w:rPr>
              <w:t>5、公司</w:t>
            </w:r>
            <w:r>
              <w:rPr>
                <w:rFonts w:hint="eastAsia"/>
                <w:lang w:val="en-US" w:eastAsia="zh-CN"/>
              </w:rPr>
              <w:t>对于</w:t>
            </w:r>
            <w:r>
              <w:rPr>
                <w:rFonts w:hint="eastAsia"/>
                <w:lang w:val="en-US"/>
              </w:rPr>
              <w:t>今年</w:t>
            </w:r>
            <w:r>
              <w:rPr>
                <w:rFonts w:hint="eastAsia"/>
                <w:lang w:val="en-US" w:eastAsia="zh-CN"/>
              </w:rPr>
              <w:t>面板行业和明年的行业趋势是如何看的？</w:t>
            </w:r>
          </w:p>
          <w:p w14:paraId="17D2E202">
            <w:pPr>
              <w:spacing w:line="360" w:lineRule="auto"/>
            </w:pPr>
            <w:r>
              <w:t>A:</w:t>
            </w:r>
            <w:r>
              <w:rPr>
                <w:rFonts w:hint="eastAsia"/>
                <w:lang w:val="en-US" w:eastAsia="zh-CN"/>
              </w:rPr>
              <w:t>2025年，面板行业整体处于温和修复的阶段，新的一年，在国家拉动内需政策的指引下，将进一步推动消费电子、集成电路和半导体等下游行业发展，AI的快速发展也不断推动客户本地化供应与产能扩张，地缘因素加速了区域产业链安全建设进程</w:t>
            </w:r>
            <w:r>
              <w:rPr>
                <w:rFonts w:hint="eastAsia"/>
              </w:rPr>
              <w:t>。</w:t>
            </w:r>
            <w:r>
              <w:rPr>
                <w:rFonts w:hint="eastAsia"/>
                <w:lang w:val="en-US"/>
              </w:rPr>
              <w:t>在</w:t>
            </w:r>
            <w:r>
              <w:rPr>
                <w:rFonts w:hint="eastAsia"/>
              </w:rPr>
              <w:t>政策支持与自身努力下，国内企业在部分领域细分产品上突破明显，在生产、检测、包装、技术服务水平等方面都开始攀升到一个新台阶，</w:t>
            </w:r>
            <w:r>
              <w:rPr>
                <w:rFonts w:hint="eastAsia"/>
                <w:lang w:val="en-US"/>
              </w:rPr>
              <w:t>竞争优势也在不断提升</w:t>
            </w:r>
            <w:r>
              <w:t>。</w:t>
            </w:r>
          </w:p>
          <w:p w14:paraId="10352DFD">
            <w:pPr>
              <w:spacing w:line="360" w:lineRule="auto"/>
            </w:pPr>
          </w:p>
          <w:p w14:paraId="6331EC6B">
            <w:pPr>
              <w:spacing w:line="360" w:lineRule="auto"/>
              <w:rPr>
                <w:rFonts w:hint="default" w:eastAsia="仿宋"/>
                <w:lang w:val="en-US" w:eastAsia="zh-CN"/>
              </w:rPr>
            </w:pPr>
            <w:r>
              <w:rPr>
                <w:rFonts w:hint="eastAsia"/>
              </w:rPr>
              <w:t>6、公司</w:t>
            </w:r>
            <w:r>
              <w:rPr>
                <w:rFonts w:hint="eastAsia"/>
                <w:lang w:val="en-US" w:eastAsia="zh-CN"/>
              </w:rPr>
              <w:t>认购了沐曦股份的战配股份，是出于什么考量？</w:t>
            </w:r>
          </w:p>
          <w:p w14:paraId="35645476">
            <w:pPr>
              <w:widowControl w:val="0"/>
              <w:numPr>
                <w:ilvl w:val="0"/>
                <w:numId w:val="0"/>
              </w:numPr>
              <w:spacing w:after="160" w:line="278" w:lineRule="auto"/>
              <w:jc w:val="both"/>
              <w:rPr>
                <w:rFonts w:hint="default"/>
                <w:lang w:val="en-US" w:eastAsia="zh-CN"/>
              </w:rPr>
            </w:pPr>
            <w:r>
              <w:t>A:</w:t>
            </w:r>
            <w:r>
              <w:rPr>
                <w:rFonts w:hint="eastAsia"/>
              </w:rPr>
              <w:t>公司以自有资金参与认购沐曦股份首次公开发行战略配售的股票</w:t>
            </w:r>
            <w:r>
              <w:rPr>
                <w:rFonts w:hint="eastAsia"/>
                <w:lang w:eastAsia="zh-CN"/>
              </w:rPr>
              <w:t>，</w:t>
            </w:r>
            <w:r>
              <w:rPr>
                <w:rFonts w:hint="eastAsia"/>
                <w:lang w:val="en-US" w:eastAsia="zh-CN"/>
              </w:rPr>
              <w:t>主要有以下几方面考量：1、技术研发与创新协同：围绕未来GPU芯片的制造工艺需求，共同探索和开发新一代高性能、高适配性的电子化学品，实现“芯片设计-材料研发”的早期互动与协同优化。2、供应链安全与保障协同：公司致力于为其提供稳定、可靠、高效的材料供应保障和售后服务。双方共同探索建立针对沐曦股份核心产品的供应链安全预警机制和产能备份方案，增强产业链韧性。3、产业生态与市场协同：联合产业链上下游合作伙伴，共同推动基于沐曦股份国产GPU产品+国产</w:t>
            </w:r>
            <w:bookmarkStart w:id="0" w:name="_GoBack"/>
            <w:bookmarkEnd w:id="0"/>
            <w:r>
              <w:rPr>
                <w:rFonts w:hint="eastAsia"/>
                <w:lang w:val="en-US" w:eastAsia="zh-CN"/>
              </w:rPr>
              <w:t>关键材料的算力平台与解决方案的应用示范与市场推广。4、行业标准与知识产权协同：联合制定电子化学品在GPU制造中的工艺标准（如化学品纯度、涂覆规范、缺陷检测标准），提升产业链一致性；参与国家/行业算力基础设施标准建设，推动国产解决方案成为市场主流。5、绿色制造与可持续发展协同：联合开发低能耗芯片制造工艺与环保电子化学品，推动产业链碳中和进程；共同制定集成电路产业绿色供应链标准，响应全球ESG趋势，提升国产算力解决方案的国际认可度。6、国际化生态拓展协同。</w:t>
            </w:r>
          </w:p>
          <w:p w14:paraId="0AFA5B2E">
            <w:pPr>
              <w:spacing w:line="360" w:lineRule="auto"/>
            </w:pPr>
          </w:p>
        </w:tc>
      </w:tr>
      <w:tr w14:paraId="64D84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3" w:hRule="atLeast"/>
        </w:trPr>
        <w:tc>
          <w:tcPr>
            <w:tcW w:w="2377" w:type="dxa"/>
          </w:tcPr>
          <w:p w14:paraId="55F322A2">
            <w:pPr>
              <w:pStyle w:val="9"/>
              <w:spacing w:before="64" w:line="340" w:lineRule="auto"/>
              <w:ind w:right="97"/>
              <w:jc w:val="both"/>
              <w:rPr>
                <w:sz w:val="24"/>
              </w:rPr>
            </w:pPr>
            <w:r>
              <w:rPr>
                <w:sz w:val="24"/>
              </w:rPr>
              <w:t>活动过程中所使用的演示文稿、提供的文档等附件（如有，可</w:t>
            </w:r>
          </w:p>
          <w:p w14:paraId="6B84863A">
            <w:pPr>
              <w:pStyle w:val="9"/>
              <w:spacing w:line="303" w:lineRule="exact"/>
              <w:rPr>
                <w:sz w:val="24"/>
              </w:rPr>
            </w:pPr>
            <w:r>
              <w:rPr>
                <w:sz w:val="24"/>
              </w:rPr>
              <w:t>作为附件）</w:t>
            </w:r>
          </w:p>
        </w:tc>
        <w:tc>
          <w:tcPr>
            <w:tcW w:w="6148" w:type="dxa"/>
          </w:tcPr>
          <w:p w14:paraId="561E560E">
            <w:pPr>
              <w:pStyle w:val="9"/>
              <w:ind w:left="0"/>
              <w:rPr>
                <w:rFonts w:ascii="Times New Roman"/>
                <w:sz w:val="26"/>
              </w:rPr>
            </w:pPr>
            <w:r>
              <w:rPr>
                <w:rFonts w:hint="eastAsia" w:ascii="Times New Roman"/>
                <w:sz w:val="26"/>
              </w:rPr>
              <w:t>无</w:t>
            </w:r>
          </w:p>
        </w:tc>
      </w:tr>
    </w:tbl>
    <w:p w14:paraId="4DCD8C9A">
      <w:pPr>
        <w:rPr>
          <w:rFonts w:ascii="宋体" w:hAnsi="宋体"/>
          <w:sz w:val="28"/>
        </w:rPr>
      </w:pPr>
    </w:p>
    <w:sectPr>
      <w:type w:val="continuous"/>
      <w:pgSz w:w="11910" w:h="16840"/>
      <w:pgMar w:top="1520" w:right="1580" w:bottom="280" w:left="9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0B"/>
    <w:rsid w:val="000107D8"/>
    <w:rsid w:val="00017528"/>
    <w:rsid w:val="0006379E"/>
    <w:rsid w:val="0007053C"/>
    <w:rsid w:val="00071C6E"/>
    <w:rsid w:val="000D2AB6"/>
    <w:rsid w:val="001108FE"/>
    <w:rsid w:val="001305E4"/>
    <w:rsid w:val="00162871"/>
    <w:rsid w:val="00171360"/>
    <w:rsid w:val="0017157A"/>
    <w:rsid w:val="001E10B2"/>
    <w:rsid w:val="0020694B"/>
    <w:rsid w:val="00215255"/>
    <w:rsid w:val="00263F0C"/>
    <w:rsid w:val="002C7B42"/>
    <w:rsid w:val="002E55A5"/>
    <w:rsid w:val="00327BF0"/>
    <w:rsid w:val="003C207C"/>
    <w:rsid w:val="003C6CFD"/>
    <w:rsid w:val="004B3293"/>
    <w:rsid w:val="004D7AF6"/>
    <w:rsid w:val="004F68F0"/>
    <w:rsid w:val="005156BA"/>
    <w:rsid w:val="00520021"/>
    <w:rsid w:val="00551301"/>
    <w:rsid w:val="00552269"/>
    <w:rsid w:val="00552E3E"/>
    <w:rsid w:val="00577250"/>
    <w:rsid w:val="00580104"/>
    <w:rsid w:val="005D738A"/>
    <w:rsid w:val="00610110"/>
    <w:rsid w:val="006A3353"/>
    <w:rsid w:val="00711F8E"/>
    <w:rsid w:val="0071356F"/>
    <w:rsid w:val="007A6320"/>
    <w:rsid w:val="007B6582"/>
    <w:rsid w:val="007E1942"/>
    <w:rsid w:val="007E3B0D"/>
    <w:rsid w:val="0081611E"/>
    <w:rsid w:val="008918A7"/>
    <w:rsid w:val="008A4F6A"/>
    <w:rsid w:val="008E614D"/>
    <w:rsid w:val="008E69FB"/>
    <w:rsid w:val="00946532"/>
    <w:rsid w:val="00965090"/>
    <w:rsid w:val="009A5806"/>
    <w:rsid w:val="009B56F7"/>
    <w:rsid w:val="009F0355"/>
    <w:rsid w:val="00A16B93"/>
    <w:rsid w:val="00A53C54"/>
    <w:rsid w:val="00A83E0B"/>
    <w:rsid w:val="00A83F33"/>
    <w:rsid w:val="00A92E65"/>
    <w:rsid w:val="00AB70D9"/>
    <w:rsid w:val="00AD52E4"/>
    <w:rsid w:val="00AD77D3"/>
    <w:rsid w:val="00B10134"/>
    <w:rsid w:val="00B41B05"/>
    <w:rsid w:val="00BC4BE7"/>
    <w:rsid w:val="00C5219B"/>
    <w:rsid w:val="00C6276F"/>
    <w:rsid w:val="00CB3578"/>
    <w:rsid w:val="00CC496A"/>
    <w:rsid w:val="00CE4412"/>
    <w:rsid w:val="00CF1336"/>
    <w:rsid w:val="00D66389"/>
    <w:rsid w:val="00DB46FA"/>
    <w:rsid w:val="00E21290"/>
    <w:rsid w:val="00E231E8"/>
    <w:rsid w:val="00E36611"/>
    <w:rsid w:val="00E50F80"/>
    <w:rsid w:val="00EB30A3"/>
    <w:rsid w:val="00EF4B98"/>
    <w:rsid w:val="00F077A1"/>
    <w:rsid w:val="00F36EB7"/>
    <w:rsid w:val="00F67894"/>
    <w:rsid w:val="00F971FE"/>
    <w:rsid w:val="00FD431E"/>
    <w:rsid w:val="0D032B63"/>
    <w:rsid w:val="142100DC"/>
    <w:rsid w:val="1ED23A13"/>
    <w:rsid w:val="286F2CF5"/>
    <w:rsid w:val="2E32172D"/>
    <w:rsid w:val="626725D1"/>
    <w:rsid w:val="6436576F"/>
    <w:rsid w:val="6E777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44"/>
      <w:szCs w:val="44"/>
    </w:rPr>
  </w:style>
  <w:style w:type="paragraph" w:styleId="3">
    <w:name w:val="footer"/>
    <w:basedOn w:val="1"/>
    <w:link w:val="11"/>
    <w:qFormat/>
    <w:uiPriority w:val="0"/>
    <w:pPr>
      <w:tabs>
        <w:tab w:val="center" w:pos="4153"/>
        <w:tab w:val="right" w:pos="8306"/>
      </w:tabs>
      <w:snapToGrid w:val="0"/>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pPr>
      <w:ind w:left="107"/>
    </w:pPr>
  </w:style>
  <w:style w:type="character" w:customStyle="1" w:styleId="10">
    <w:name w:val="页眉 字符"/>
    <w:basedOn w:val="6"/>
    <w:link w:val="4"/>
    <w:qFormat/>
    <w:uiPriority w:val="0"/>
    <w:rPr>
      <w:rFonts w:ascii="仿宋" w:hAnsi="仿宋" w:eastAsia="仿宋" w:cs="仿宋"/>
      <w:sz w:val="18"/>
      <w:szCs w:val="18"/>
      <w:lang w:val="zh-CN" w:bidi="zh-CN"/>
    </w:rPr>
  </w:style>
  <w:style w:type="character" w:customStyle="1" w:styleId="11">
    <w:name w:val="页脚 字符"/>
    <w:basedOn w:val="6"/>
    <w:link w:val="3"/>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1859</Words>
  <Characters>1904</Characters>
  <Lines>12</Lines>
  <Paragraphs>3</Paragraphs>
  <TotalTime>2</TotalTime>
  <ScaleCrop>false</ScaleCrop>
  <LinksUpToDate>false</LinksUpToDate>
  <CharactersWithSpaces>1944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2024-10-30T05:21:00Z</dcterms:created>
  <dc:creator>杨展</dc:creator>
  <cp:lastModifiedBy>杭州格林达</cp:lastModifiedBy>
  <dcterms:modified xsi:type="dcterms:W3CDTF">2025-12-23T08:50:53Z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2022-07-29T00:00:00Z</vt:filetime>
  </property>
  <property fmtid="{D5CDD505-2E9C-101B-9397-08002B2CF9AE}" pid="3" name="Creator">
    <vt:lpwstr>Microsoft® Word 2010</vt:lpwstr>
  </property>
  <property fmtid="{D5CDD505-2E9C-101B-9397-08002B2CF9AE}" pid="4" name="LastSaved">
    <vt:filetime>2022-11-24T00:00:00Z</vt:filetime>
  </property>
  <property fmtid="{D5CDD505-2E9C-101B-9397-08002B2CF9AE}" pid="5" name="KSOProductBuildVer">
    <vt:lpwstr>2052-12.1.0.24034</vt:lpwstr>
  </property>
  <property fmtid="{D5CDD505-2E9C-101B-9397-08002B2CF9AE}" pid="6" name="KSOTemplateDocerSaveRecord">
    <vt:lpwstr>eyJoZGlkIjoiYjM1MzI5ZjdhYjMwMjg0OGUxNWUzZTQ2ZjVlODNmMGMiLCJ1c2VySWQiOiI1MjM0NDMzMTIifQ==</vt:lpwstr>
  </property>
  <property fmtid="{D5CDD505-2E9C-101B-9397-08002B2CF9AE}" pid="7" name="ICV">
    <vt:lpwstr>013122AAE16A408E967B8B1F14BAA76A_12</vt:lpwstr>
  </property>
</Properties>
</file>