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57EF8"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 w14:paraId="7234B70C"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 w14:paraId="6B5F4815"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 w14:paraId="415D503B">
      <w:pPr>
        <w:snapToGrid w:val="0"/>
        <w:spacing w:before="159" w:beforeLines="50" w:line="300" w:lineRule="auto"/>
        <w:jc w:val="center"/>
        <w:rPr>
          <w:rFonts w:ascii="黑体" w:eastAsia="黑体"/>
          <w:color w:val="000000"/>
          <w:spacing w:val="12"/>
          <w:sz w:val="32"/>
        </w:rPr>
      </w:pPr>
      <w:bookmarkStart w:id="0" w:name="WH"/>
      <w:bookmarkEnd w:id="0"/>
      <w:r>
        <w:rPr>
          <w:rFonts w:hint="eastAsia" w:ascii="仿宋_GB2312" w:eastAsia="仿宋_GB2312"/>
          <w:color w:val="000000"/>
          <w:spacing w:val="12"/>
          <w:sz w:val="28"/>
        </w:rPr>
        <w:t>〔202</w:t>
      </w:r>
      <w:r>
        <w:rPr>
          <w:rFonts w:ascii="仿宋_GB2312" w:eastAsia="仿宋_GB2312"/>
          <w:color w:val="000000"/>
          <w:spacing w:val="12"/>
          <w:sz w:val="28"/>
        </w:rPr>
        <w:t>5</w:t>
      </w:r>
      <w:r>
        <w:rPr>
          <w:rFonts w:hint="eastAsia" w:ascii="仿宋_GB2312" w:eastAsia="仿宋_GB2312"/>
          <w:color w:val="000000"/>
          <w:spacing w:val="12"/>
          <w:sz w:val="28"/>
        </w:rPr>
        <w:t>〕</w:t>
      </w:r>
      <w:r>
        <w:rPr>
          <w:rFonts w:ascii="仿宋_GB2312" w:eastAsia="仿宋_GB2312"/>
          <w:color w:val="000000"/>
          <w:spacing w:val="12"/>
          <w:sz w:val="28"/>
        </w:rPr>
        <w:t>154</w:t>
      </w:r>
      <w:r>
        <w:rPr>
          <w:rFonts w:hint="eastAsia" w:ascii="仿宋_GB2312" w:eastAsia="仿宋_GB2312"/>
          <w:color w:val="000000"/>
          <w:spacing w:val="12"/>
          <w:sz w:val="28"/>
        </w:rPr>
        <w:t>号</w:t>
      </w:r>
    </w:p>
    <w:p w14:paraId="33DBB1FD"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wvtZLWAAAACAEAAA8AAAAAAAAAAQAgAAAAIgAAAGRycy9kb3ducmV2LnhtbFBLAQIU&#10;ABQAAAAIAIdO4kDxLzzT9QEAAOkDAAAOAAAAAAAAAAEAIAAAACUBAABkcnMvZTJvRG9jLnhtbFBL&#10;BQYAAAAABgAGAFkBAACM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E48067D">
      <w:pPr>
        <w:jc w:val="center"/>
        <w:rPr>
          <w:sz w:val="28"/>
          <w:szCs w:val="28"/>
        </w:rPr>
      </w:pPr>
    </w:p>
    <w:p w14:paraId="7C2D9923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quanwen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关于对广东泉为科技股份有限公司、褚一凡、雷心跃采取出具警示函措施的决定</w:t>
      </w:r>
    </w:p>
    <w:p w14:paraId="7C58C89A">
      <w:pPr>
        <w:adjustRightInd w:val="0"/>
        <w:snapToGrid w:val="0"/>
        <w:ind w:firstLine="640" w:firstLineChars="20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7514A391">
      <w:pPr>
        <w:overflowPunct w:val="0"/>
        <w:adjustRightInd w:val="0"/>
        <w:snapToGrid w:val="0"/>
        <w:spacing w:line="336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广东泉为科技股份有限公司、褚一凡、雷心跃：</w:t>
      </w:r>
    </w:p>
    <w:p w14:paraId="33D3F9F9">
      <w:pPr>
        <w:overflowPunct w:val="0"/>
        <w:adjustRightInd w:val="0"/>
        <w:snapToGrid w:val="0"/>
        <w:spacing w:line="336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根据《上市公司现场检查规则》（证监会公告〔2025〕5号）等规定，我局对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广东泉为科技股份有限公司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（以下简称ST泉为或公司）进行了现场检查，发现公司存在以下违规行为：</w:t>
      </w:r>
    </w:p>
    <w:p w14:paraId="66298884">
      <w:pPr>
        <w:overflowPunct w:val="0"/>
        <w:adjustRightInd w:val="0"/>
        <w:snapToGrid w:val="0"/>
        <w:spacing w:line="336" w:lineRule="auto"/>
        <w:ind w:firstLine="640" w:firstLineChars="200"/>
        <w:rPr>
          <w:rFonts w:ascii="仿宋_GB2312" w:hAnsi="Calibri" w:eastAsia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一、关联方非经营性资金占用。</w:t>
      </w:r>
      <w:r>
        <w:rPr>
          <w:rFonts w:hint="eastAsia" w:ascii="仿宋_GB2312" w:hAnsi="Calibri" w:eastAsia="仿宋_GB2312"/>
          <w:bCs/>
          <w:sz w:val="32"/>
          <w:szCs w:val="32"/>
        </w:rPr>
        <w:t>经查，上海蕴秦贸易有限公司（以下简称上海蕴秦）系公司关联方。2023年1月19日至2023年2月7日期间，ST泉为向上海蕴秦</w:t>
      </w:r>
      <w:r>
        <w:rPr>
          <w:rFonts w:hint="eastAsia" w:ascii="仿宋_GB2312" w:eastAsia="仿宋_GB2312"/>
          <w:kern w:val="0"/>
          <w:sz w:val="32"/>
          <w:szCs w:val="32"/>
        </w:rPr>
        <w:t>提供借款</w:t>
      </w:r>
      <w:r>
        <w:rPr>
          <w:rFonts w:hint="eastAsia" w:ascii="仿宋_GB2312" w:hAnsi="Calibri" w:eastAsia="仿宋_GB2312"/>
          <w:bCs/>
          <w:sz w:val="32"/>
          <w:szCs w:val="32"/>
        </w:rPr>
        <w:t>，发生额1</w:t>
      </w:r>
      <w:r>
        <w:rPr>
          <w:rFonts w:ascii="仿宋_GB2312" w:hAnsi="Calibri" w:eastAsia="仿宋_GB2312"/>
          <w:bCs/>
          <w:sz w:val="32"/>
          <w:szCs w:val="32"/>
        </w:rPr>
        <w:t>3</w:t>
      </w:r>
      <w:r>
        <w:rPr>
          <w:rFonts w:hint="eastAsia" w:ascii="仿宋_GB2312" w:hAnsi="Calibri" w:eastAsia="仿宋_GB2312"/>
          <w:bCs/>
          <w:sz w:val="32"/>
          <w:szCs w:val="32"/>
        </w:rPr>
        <w:t>0万元，构成关联方非经营性资金占用，占用资金均已清偿。公司对上述事项未及时依法履行审议及信息披露义务，违反了《上市公司信息披露管理办法》</w:t>
      </w:r>
      <w:r>
        <w:rPr>
          <w:rFonts w:hint="eastAsia" w:ascii="仿宋_GB2312" w:hAnsi="仿宋_GB2312" w:eastAsia="仿宋_GB2312" w:cs="黑体"/>
          <w:color w:val="000000"/>
          <w:kern w:val="0"/>
          <w:sz w:val="32"/>
          <w:szCs w:val="32"/>
        </w:rPr>
        <w:t>（证监会令182号，下同）</w:t>
      </w:r>
      <w:r>
        <w:rPr>
          <w:rFonts w:hint="eastAsia" w:ascii="仿宋_GB2312" w:hAnsi="Calibri" w:eastAsia="仿宋_GB2312"/>
          <w:bCs/>
          <w:sz w:val="32"/>
          <w:szCs w:val="32"/>
        </w:rPr>
        <w:t>第三条第一款的规定，不符合《上市公司监管指引第8号——上市公司资金往来、对外担保的监管</w:t>
      </w:r>
      <w:bookmarkStart w:id="2" w:name="_GoBack"/>
      <w:bookmarkEnd w:id="2"/>
      <w:r>
        <w:rPr>
          <w:rFonts w:hint="eastAsia" w:ascii="仿宋_GB2312" w:hAnsi="Calibri" w:eastAsia="仿宋_GB2312"/>
          <w:bCs/>
          <w:sz w:val="32"/>
          <w:szCs w:val="32"/>
        </w:rPr>
        <w:t>要求》(证监会公告〔2022〕26号)第五条第二项的规定。</w:t>
      </w:r>
    </w:p>
    <w:p w14:paraId="62671F98">
      <w:pPr>
        <w:overflowPunct w:val="0"/>
        <w:adjustRightInd w:val="0"/>
        <w:snapToGrid w:val="0"/>
        <w:spacing w:line="336" w:lineRule="auto"/>
        <w:ind w:firstLine="640" w:firstLineChars="200"/>
        <w:rPr>
          <w:rFonts w:ascii="仿宋_GB2312" w:hAnsi="Calibri" w:eastAsia="仿宋_GB2312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二、内部控制存在缺陷。</w:t>
      </w:r>
      <w:r>
        <w:rPr>
          <w:rFonts w:hint="eastAsia" w:ascii="仿宋_GB2312" w:hAnsi="Calibri" w:eastAsia="仿宋_GB2312"/>
          <w:b/>
          <w:sz w:val="32"/>
          <w:szCs w:val="32"/>
        </w:rPr>
        <w:t>一是对外担保相关内部控制存在缺陷。</w:t>
      </w:r>
      <w:r>
        <w:rPr>
          <w:rFonts w:hint="eastAsia" w:ascii="仿宋_GB2312" w:hAnsi="Calibri" w:eastAsia="仿宋_GB2312"/>
          <w:bCs/>
          <w:sz w:val="32"/>
          <w:szCs w:val="32"/>
        </w:rPr>
        <w:t>2023年12月26日，ST泉为的子公司</w:t>
      </w:r>
      <w:r>
        <w:rPr>
          <w:rFonts w:hint="eastAsia" w:ascii="仿宋_GB2312" w:hAnsi="仿宋_GB2312" w:eastAsia="仿宋_GB2312" w:cs="黑体"/>
          <w:color w:val="000000"/>
          <w:kern w:val="0"/>
          <w:sz w:val="32"/>
          <w:szCs w:val="32"/>
        </w:rPr>
        <w:t>安徽泉为绿能新能源科技有限公司（以下简称安徽泉为）</w:t>
      </w:r>
      <w:r>
        <w:rPr>
          <w:rFonts w:hint="eastAsia" w:ascii="仿宋_GB2312" w:hAnsi="Calibri" w:eastAsia="仿宋_GB2312"/>
          <w:bCs/>
          <w:sz w:val="32"/>
          <w:szCs w:val="32"/>
        </w:rPr>
        <w:t>与</w:t>
      </w:r>
      <w:r>
        <w:rPr>
          <w:rFonts w:hint="eastAsia" w:ascii="仿宋_GB2312" w:hAnsi="仿宋_GB2312" w:eastAsia="仿宋_GB2312" w:cs="黑体"/>
          <w:color w:val="000000"/>
          <w:kern w:val="0"/>
          <w:sz w:val="32"/>
          <w:szCs w:val="32"/>
        </w:rPr>
        <w:t>安徽汇祥建安建设工程有限公司（以下简称汇祥建安）</w:t>
      </w:r>
      <w:r>
        <w:rPr>
          <w:rFonts w:hint="eastAsia" w:ascii="仿宋_GB2312" w:hAnsi="Calibri" w:eastAsia="仿宋_GB2312"/>
          <w:bCs/>
          <w:sz w:val="32"/>
          <w:szCs w:val="32"/>
        </w:rPr>
        <w:t>、泗县三鼎新型建材有限公司（以下简称泗县三鼎）签订协议，约定安徽泉为就汇祥建安向泗县三鼎采购混凝土合同，为汇祥建安提供连带责任担保。经查，有关担保事项未经公司董事会、股东会审议，有关公章使用也未按公司用章管理制度履行审批程序。</w:t>
      </w:r>
      <w:r>
        <w:rPr>
          <w:rFonts w:hint="eastAsia" w:ascii="仿宋_GB2312" w:hAnsi="Calibri" w:eastAsia="仿宋_GB2312"/>
          <w:b/>
          <w:sz w:val="32"/>
          <w:szCs w:val="32"/>
        </w:rPr>
        <w:t>二是印章管理内部控制存在缺陷</w:t>
      </w:r>
      <w:r>
        <w:rPr>
          <w:rFonts w:hint="eastAsia" w:ascii="仿宋_GB2312" w:hAnsi="Calibri" w:eastAsia="仿宋_GB2312"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2023年5月10日至2023年11月22日期间，安徽泉为与上海鸿吉新材料有限公司（以下简称上海鸿吉）先后签订多份钢材采购合同，合同累计金额5,279.86万元。</w:t>
      </w:r>
      <w:r>
        <w:rPr>
          <w:rFonts w:hint="eastAsia" w:ascii="仿宋_GB2312" w:hAnsi="Calibri" w:eastAsia="仿宋_GB2312"/>
          <w:bCs/>
          <w:sz w:val="32"/>
          <w:szCs w:val="32"/>
        </w:rPr>
        <w:t>上述合同的公章使用未按公司用章管理制度履行审批程序。根据公司财务报告内部控制缺陷认定标准，上述2项内部控制缺陷属于重大缺陷，但ST泉为在2023年度内部控制自我评价报告中未如实披露上述内部控制重大缺陷，违反了《上市公司信息披露管理办法》第三条第一款的规定。</w:t>
      </w:r>
    </w:p>
    <w:p w14:paraId="2933FCC9">
      <w:pPr>
        <w:overflowPunct w:val="0"/>
        <w:adjustRightInd w:val="0"/>
        <w:snapToGrid w:val="0"/>
        <w:spacing w:line="336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公司董事长褚一凡、总经理雷心跃未按照《上市公司信息披露管理办法》第四条的规定履行勤勉尽责义务，对公司上述违规行为负有主要责任。</w:t>
      </w:r>
    </w:p>
    <w:p w14:paraId="4A757A71">
      <w:pPr>
        <w:overflowPunct w:val="0"/>
        <w:adjustRightInd w:val="0"/>
        <w:snapToGrid w:val="0"/>
        <w:spacing w:line="336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上市公司信息披露管理办法》第五十二条的规定，我局决定对你们采取出具警示函的行政监管措施。你们应认真吸取教训，切实加强证券法律法规的学习，依法真实、准确、完整、及时、公平地履行信息披露义务。同时你公司应于收到本决定书30日内完成整改，向我局报送整改报告，并抄报深圳证券交易所。</w:t>
      </w:r>
    </w:p>
    <w:p w14:paraId="17E72F93">
      <w:pPr>
        <w:overflowPunct w:val="0"/>
        <w:adjustRightInd w:val="0"/>
        <w:snapToGrid w:val="0"/>
        <w:spacing w:line="336" w:lineRule="auto"/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对本行政监管措施不服，可在收到本决定书之日起60日内向中国证券监督管理委员会提出行政复议申请；也可以在收到本决定书之日起6个月内向有管辖权的人民法院提起诉讼。复议与诉讼期间，上述行政监管措施不停止执行。</w:t>
      </w:r>
    </w:p>
    <w:p w14:paraId="1B18CACF">
      <w:pPr>
        <w:overflowPunct w:val="0"/>
        <w:snapToGrid w:val="0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12927B7">
      <w:pPr>
        <w:overflowPunct w:val="0"/>
        <w:adjustRightInd w:val="0"/>
        <w:snapToGrid w:val="0"/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 w14:paraId="42E55A04">
      <w:pPr>
        <w:overflowPunct w:val="0"/>
        <w:adjustRightInd w:val="0"/>
        <w:snapToGrid w:val="0"/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 w14:paraId="73BB30AE">
      <w:pPr>
        <w:overflowPunct w:val="0"/>
        <w:adjustRightInd w:val="0"/>
        <w:snapToGrid w:val="0"/>
        <w:spacing w:line="360" w:lineRule="auto"/>
        <w:ind w:right="1705"/>
        <w:jc w:val="right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广东证监局</w:t>
      </w:r>
    </w:p>
    <w:p w14:paraId="6F476C42">
      <w:pPr>
        <w:overflowPunct w:val="0"/>
        <w:adjustRightInd w:val="0"/>
        <w:snapToGrid w:val="0"/>
        <w:spacing w:line="360" w:lineRule="auto"/>
        <w:jc w:val="center"/>
        <w:outlineLvl w:val="0"/>
      </w:pPr>
      <w:r>
        <w:rPr>
          <w:rFonts w:hint="eastAsia" w:ascii="仿宋_GB2312" w:eastAsia="仿宋_GB2312"/>
          <w:color w:val="000000"/>
          <w:spacing w:val="10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000000"/>
          <w:spacing w:val="10"/>
          <w:sz w:val="32"/>
          <w:szCs w:val="32"/>
        </w:rPr>
        <w:t xml:space="preserve">         </w:t>
      </w:r>
      <w:r>
        <w:rPr>
          <w:rFonts w:ascii="仿宋_GB2312" w:eastAsia="仿宋_GB2312"/>
          <w:color w:val="000000"/>
          <w:spacing w:val="10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000000"/>
          <w:spacing w:val="10"/>
          <w:sz w:val="32"/>
          <w:szCs w:val="32"/>
        </w:rPr>
        <w:t xml:space="preserve">     202</w:t>
      </w:r>
      <w:r>
        <w:rPr>
          <w:rFonts w:ascii="仿宋_GB2312" w:eastAsia="仿宋_GB2312"/>
          <w:color w:val="000000"/>
          <w:spacing w:val="10"/>
          <w:sz w:val="32"/>
          <w:szCs w:val="32"/>
        </w:rPr>
        <w:t>5</w:t>
      </w:r>
      <w:r>
        <w:rPr>
          <w:rFonts w:hint="eastAsia" w:ascii="仿宋_GB2312" w:eastAsia="仿宋_GB2312"/>
          <w:color w:val="000000"/>
          <w:spacing w:val="10"/>
          <w:sz w:val="32"/>
          <w:szCs w:val="32"/>
        </w:rPr>
        <w:t>年</w:t>
      </w:r>
      <w:r>
        <w:rPr>
          <w:rFonts w:ascii="仿宋_GB2312" w:eastAsia="仿宋_GB2312"/>
          <w:color w:val="000000"/>
          <w:spacing w:val="1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pacing w:val="10"/>
          <w:sz w:val="32"/>
          <w:szCs w:val="32"/>
        </w:rPr>
        <w:t>2月</w:t>
      </w:r>
      <w:r>
        <w:rPr>
          <w:rFonts w:ascii="仿宋_GB2312" w:eastAsia="仿宋_GB2312"/>
          <w:color w:val="000000"/>
          <w:spacing w:val="10"/>
          <w:sz w:val="32"/>
          <w:szCs w:val="32"/>
        </w:rPr>
        <w:t>15</w:t>
      </w:r>
      <w:r>
        <w:rPr>
          <w:rFonts w:hint="eastAsia" w:ascii="仿宋_GB2312" w:eastAsia="仿宋_GB2312"/>
          <w:color w:val="000000"/>
          <w:spacing w:val="10"/>
          <w:sz w:val="32"/>
          <w:szCs w:val="32"/>
        </w:rPr>
        <w:t>日</w:t>
      </w:r>
    </w:p>
    <w:p w14:paraId="2211134B"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</w:rPr>
      </w:pPr>
    </w:p>
    <w:p w14:paraId="041DECB5"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</w:rPr>
      </w:pPr>
    </w:p>
    <w:p w14:paraId="0B0E81AC"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</w:rPr>
      </w:pPr>
    </w:p>
    <w:p w14:paraId="46915383"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</w:rPr>
      </w:pPr>
    </w:p>
    <w:p w14:paraId="503DB2FD"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</w:rPr>
      </w:pPr>
    </w:p>
    <w:p w14:paraId="6A086B0D"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</w:rPr>
      </w:pPr>
    </w:p>
    <w:p w14:paraId="5FFFB513"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</w:rPr>
      </w:pPr>
    </w:p>
    <w:p w14:paraId="6FD2948F"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</w:rPr>
      </w:pPr>
    </w:p>
    <w:p w14:paraId="7C9A190C"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</w:rPr>
      </w:pPr>
    </w:p>
    <w:p w14:paraId="3EBFDF2A"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</w:rPr>
      </w:pPr>
    </w:p>
    <w:p w14:paraId="61E12732"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</w:rPr>
      </w:pPr>
    </w:p>
    <w:p w14:paraId="15A99A4F"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</w:rPr>
      </w:pPr>
    </w:p>
    <w:p w14:paraId="269186D1"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</w:rPr>
      </w:pPr>
    </w:p>
    <w:p w14:paraId="37EDC9A8"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</w:rPr>
      </w:pPr>
    </w:p>
    <w:p w14:paraId="385E01AE"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</w:rPr>
      </w:pPr>
    </w:p>
    <w:p w14:paraId="09734D47"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</w:rPr>
      </w:pPr>
    </w:p>
    <w:p w14:paraId="276840D6"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</w:rPr>
      </w:pPr>
    </w:p>
    <w:p w14:paraId="658C1361"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</w:rPr>
      </w:pPr>
    </w:p>
    <w:p w14:paraId="49D04E93">
      <w:pPr>
        <w:snapToGrid w:val="0"/>
        <w:spacing w:line="336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632B2D"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</w:rPr>
      </w:pPr>
    </w:p>
    <w:p w14:paraId="127C4C05"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</w:rPr>
      </w:pPr>
    </w:p>
    <w:p w14:paraId="457D1A28"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</w:rPr>
      </w:pPr>
    </w:p>
    <w:p w14:paraId="6B614F2A"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</w:rPr>
      </w:pPr>
    </w:p>
    <w:p w14:paraId="0F26E7E9"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</w:rPr>
      </w:pPr>
    </w:p>
    <w:p w14:paraId="629B8D9D">
      <w:pPr>
        <w:snapToGrid w:val="0"/>
        <w:ind w:right="28"/>
        <w:jc w:val="left"/>
        <w:rPr>
          <w:rFonts w:ascii="黑体" w:hAnsi="Calibri" w:eastAsia="黑体"/>
          <w:spacing w:val="8"/>
          <w:sz w:val="32"/>
          <w:szCs w:val="32"/>
        </w:rPr>
      </w:pPr>
    </w:p>
    <w:p w14:paraId="0494B42E">
      <w:pPr>
        <w:pBdr>
          <w:top w:val="single" w:color="auto" w:sz="8" w:space="6"/>
        </w:pBdr>
        <w:adjustRightInd w:val="0"/>
        <w:snapToGrid w:val="0"/>
        <w:spacing w:after="111" w:afterLines="35"/>
        <w:ind w:firstLine="296" w:firstLineChars="100"/>
        <w:rPr>
          <w:rFonts w:ascii="仿宋_GB2312" w:hAnsi="Calibri" w:eastAsia="仿宋_GB2312"/>
          <w:spacing w:val="8"/>
          <w:sz w:val="28"/>
          <w:szCs w:val="24"/>
        </w:rPr>
      </w:pPr>
      <w:r>
        <w:rPr>
          <w:rFonts w:hint="eastAsia" w:ascii="仿宋_GB2312" w:hAnsi="Calibri" w:eastAsia="仿宋_GB2312"/>
          <w:spacing w:val="8"/>
          <w:sz w:val="28"/>
          <w:szCs w:val="24"/>
        </w:rPr>
        <w:t>抄送：证监会上市司、法治司；深圳证券交易所。</w:t>
      </w:r>
    </w:p>
    <w:p w14:paraId="57D0EAA7">
      <w:pPr>
        <w:pBdr>
          <w:top w:val="single" w:color="auto" w:sz="4" w:space="6"/>
        </w:pBdr>
        <w:adjustRightInd w:val="0"/>
        <w:snapToGrid w:val="0"/>
        <w:spacing w:after="111" w:afterLines="35"/>
        <w:ind w:firstLine="318"/>
        <w:jc w:val="left"/>
        <w:rPr>
          <w:rFonts w:ascii="仿宋_GB2312" w:hAnsi="Calibri" w:eastAsia="仿宋_GB2312"/>
          <w:spacing w:val="8"/>
          <w:sz w:val="28"/>
          <w:szCs w:val="24"/>
        </w:rPr>
      </w:pPr>
      <w:r>
        <w:rPr>
          <w:rFonts w:hint="eastAsia" w:ascii="仿宋_GB2312" w:hAnsi="Calibri" w:eastAsia="仿宋_GB2312"/>
          <w:spacing w:val="8"/>
          <w:sz w:val="28"/>
          <w:szCs w:val="24"/>
        </w:rPr>
        <w:t xml:space="preserve">广东证监局办公室              </w:t>
      </w:r>
      <w:r>
        <w:rPr>
          <w:rFonts w:ascii="仿宋_GB2312" w:hAnsi="Calibri" w:eastAsia="仿宋_GB2312"/>
          <w:spacing w:val="8"/>
          <w:sz w:val="28"/>
          <w:szCs w:val="24"/>
        </w:rPr>
        <w:t xml:space="preserve">   </w:t>
      </w:r>
      <w:r>
        <w:rPr>
          <w:rFonts w:hint="eastAsia" w:ascii="仿宋_GB2312" w:hAnsi="Calibri" w:eastAsia="仿宋_GB2312"/>
          <w:spacing w:val="8"/>
          <w:sz w:val="28"/>
          <w:szCs w:val="24"/>
        </w:rPr>
        <w:t xml:space="preserve"> </w:t>
      </w:r>
      <w:r>
        <w:rPr>
          <w:rFonts w:ascii="仿宋_GB2312" w:hAnsi="Calibri" w:eastAsia="仿宋_GB2312"/>
          <w:spacing w:val="8"/>
          <w:sz w:val="28"/>
          <w:szCs w:val="24"/>
          <w:lang w:val="en"/>
        </w:rPr>
        <w:t>202</w:t>
      </w:r>
      <w:r>
        <w:rPr>
          <w:rFonts w:hint="eastAsia" w:ascii="仿宋_GB2312" w:hAnsi="Calibri" w:eastAsia="仿宋_GB2312"/>
          <w:spacing w:val="8"/>
          <w:sz w:val="28"/>
          <w:szCs w:val="24"/>
        </w:rPr>
        <w:t>5年12月</w:t>
      </w:r>
      <w:r>
        <w:rPr>
          <w:rFonts w:ascii="仿宋_GB2312" w:hAnsi="Calibri" w:eastAsia="仿宋_GB2312"/>
          <w:spacing w:val="8"/>
          <w:sz w:val="28"/>
          <w:szCs w:val="24"/>
        </w:rPr>
        <w:t>15</w:t>
      </w:r>
      <w:r>
        <w:rPr>
          <w:rFonts w:hint="eastAsia" w:ascii="仿宋_GB2312" w:hAnsi="Calibri" w:eastAsia="仿宋_GB2312"/>
          <w:spacing w:val="8"/>
          <w:sz w:val="28"/>
          <w:szCs w:val="24"/>
        </w:rPr>
        <w:t>日印发</w:t>
      </w:r>
    </w:p>
    <w:bookmarkEnd w:id="1"/>
    <w:p w14:paraId="04C6ED60">
      <w:pPr>
        <w:pBdr>
          <w:top w:val="single" w:color="auto" w:sz="8" w:space="7"/>
        </w:pBdr>
        <w:overflowPunct w:val="0"/>
        <w:adjustRightInd w:val="0"/>
        <w:snapToGrid w:val="0"/>
        <w:jc w:val="left"/>
        <w:rPr>
          <w:rFonts w:ascii="仿宋_GB2312" w:hAnsi="Calibri" w:eastAsia="仿宋_GB2312"/>
          <w:spacing w:val="8"/>
          <w:sz w:val="2"/>
          <w:szCs w:val="2"/>
        </w:rPr>
      </w:pPr>
    </w:p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ECD67">
    <w:pPr>
      <w:pStyle w:val="3"/>
      <w:rPr>
        <w:rFonts w:hint="eastAsia" w:ascii="宋体" w:hAnsi="宋体" w:cs="宋体"/>
        <w:sz w:val="28"/>
      </w:rPr>
    </w:pPr>
    <w:r>
      <w:rPr>
        <w:rFonts w:hint="eastAsia" w:ascii="宋体" w:hAnsi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4445" t="4445" r="1460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2BE7BB">
                          <w:pPr>
                            <w:rPr>
                              <w:rFonts w:hint="eastAsia" w:ascii="宋体" w:hAnsi="宋体" w:cs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2BE7BB">
                    <w:pPr>
                      <w:rPr>
                        <w:rFonts w:hint="eastAsia" w:ascii="宋体" w:hAnsi="宋体" w:cs="宋体"/>
                        <w:sz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readOnly" w:enforcement="0"/>
  <w:defaultTabStop w:val="420"/>
  <w:drawingGridHorizontalSpacing w:val="210"/>
  <w:drawingGridVerticalSpacing w:val="159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5FF8B7"/>
    <w:rsid w:val="003967AE"/>
    <w:rsid w:val="00473ED2"/>
    <w:rsid w:val="007C3C5B"/>
    <w:rsid w:val="00B66155"/>
    <w:rsid w:val="2BDDE594"/>
    <w:rsid w:val="3C7FA7B7"/>
    <w:rsid w:val="3FF7588F"/>
    <w:rsid w:val="435DE9F3"/>
    <w:rsid w:val="4F774B82"/>
    <w:rsid w:val="57FD06B5"/>
    <w:rsid w:val="61FAC319"/>
    <w:rsid w:val="77FEDA0D"/>
    <w:rsid w:val="7D7FBB58"/>
    <w:rsid w:val="7FDF723F"/>
    <w:rsid w:val="7FDFFDCB"/>
    <w:rsid w:val="EE5FF8B7"/>
    <w:rsid w:val="FBFFF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customStyle="1" w:styleId="8">
    <w:name w:val="样式1"/>
    <w:basedOn w:val="2"/>
    <w:next w:val="1"/>
    <w:qFormat/>
    <w:uiPriority w:val="0"/>
    <w:rPr>
      <w:rFonts w:eastAsia="方正小标宋简体"/>
      <w:sz w:val="96"/>
    </w:rPr>
  </w:style>
  <w:style w:type="paragraph" w:customStyle="1" w:styleId="9">
    <w:name w:val="样式2"/>
    <w:basedOn w:val="5"/>
    <w:next w:val="1"/>
    <w:qFormat/>
    <w:uiPriority w:val="0"/>
    <w:rPr>
      <w:rFonts w:eastAsia="方正小标宋简体"/>
      <w:sz w:val="44"/>
    </w:rPr>
  </w:style>
  <w:style w:type="paragraph" w:customStyle="1" w:styleId="10">
    <w:name w:val="NormalIndent"/>
    <w:basedOn w:val="1"/>
    <w:next w:val="1"/>
    <w:qFormat/>
    <w:uiPriority w:val="0"/>
    <w:pPr>
      <w:ind w:firstLine="420"/>
      <w:textAlignment w:val="baseline"/>
    </w:pPr>
    <w:rPr>
      <w:rFonts w:ascii="宋体" w:hAnsi="Calibri"/>
      <w:kern w:val="0"/>
      <w:szCs w:val="24"/>
    </w:rPr>
  </w:style>
  <w:style w:type="paragraph" w:customStyle="1" w:styleId="11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194</Words>
  <Characters>1107</Characters>
  <Lines>9</Lines>
  <Paragraphs>2</Paragraphs>
  <TotalTime>0</TotalTime>
  <ScaleCrop>false</ScaleCrop>
  <LinksUpToDate>false</LinksUpToDate>
  <CharactersWithSpaces>1299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2025-12-08T16:40:00Z</dcterms:created>
  <dc:creator>黄小炜</dc:creator>
  <cp:lastModifiedBy>练巧春</cp:lastModifiedBy>
  <cp:lastPrinted>2025-12-18T00:50:00Z</cp:lastPrinted>
  <dcterms:modified xsi:type="dcterms:W3CDTF">2025-12-25T18:40:25Z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B73D9D8988D4310499144D69E62124CC_43</vt:lpwstr>
  </property>
</Properties>
</file>