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7835">
      <w:pPr>
        <w:spacing w:before="156" w:beforeLines="50" w:after="156" w:afterLines="50" w:line="400" w:lineRule="exact"/>
        <w:ind w:firstLine="723" w:firstLineChars="300"/>
        <w:rPr>
          <w:rFonts w:hint="eastAsia"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证券代码：603194                           证券简称：中力股份</w:t>
      </w:r>
    </w:p>
    <w:p w14:paraId="57AE5FCC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eastAsia"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浙江中力机械股份有限公司投资者关系活动记录表</w:t>
      </w:r>
    </w:p>
    <w:p w14:paraId="579DE714">
      <w:pPr>
        <w:spacing w:line="400" w:lineRule="exact"/>
        <w:rPr>
          <w:rFonts w:hint="default" w:ascii="宋体" w:hAnsi="宋体" w:eastAsia="宋体"/>
          <w:bCs/>
          <w:i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iCs/>
          <w:sz w:val="24"/>
          <w:szCs w:val="24"/>
        </w:rPr>
        <w:t xml:space="preserve">                                                      编号：2025-01</w:t>
      </w:r>
      <w:r>
        <w:rPr>
          <w:rFonts w:hint="eastAsia" w:ascii="宋体" w:hAnsi="宋体"/>
          <w:bCs/>
          <w:iCs/>
          <w:sz w:val="24"/>
          <w:szCs w:val="24"/>
          <w:lang w:val="en-US" w:eastAsia="zh-CN"/>
        </w:rPr>
        <w:t>5</w:t>
      </w:r>
    </w:p>
    <w:tbl>
      <w:tblPr>
        <w:tblStyle w:val="9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29E8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931" w:type="dxa"/>
            <w:vAlign w:val="center"/>
          </w:tcPr>
          <w:p w14:paraId="5FB6DF8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</w:t>
            </w:r>
          </w:p>
          <w:p w14:paraId="05AA222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活动类别</w:t>
            </w:r>
          </w:p>
          <w:p w14:paraId="6AECD90E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1B4FD25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√特定对象调研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60452EF1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5926BD80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3E40AB32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51F472E2">
            <w:pPr>
              <w:tabs>
                <w:tab w:val="center" w:pos="3199"/>
              </w:tabs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 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59C8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vAlign w:val="center"/>
          </w:tcPr>
          <w:p w14:paraId="483FF9AC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  <w:p w14:paraId="595A1B77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及人员姓名</w:t>
            </w:r>
          </w:p>
        </w:tc>
        <w:tc>
          <w:tcPr>
            <w:tcW w:w="6693" w:type="dxa"/>
          </w:tcPr>
          <w:p w14:paraId="08D0551D">
            <w:p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长江资管 诸勤秒</w:t>
            </w:r>
          </w:p>
          <w:p w14:paraId="3B5DE239">
            <w:p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辰光资本 夏金宝</w:t>
            </w:r>
          </w:p>
          <w:p w14:paraId="1BBC7063">
            <w:p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东吴证券 韩青</w:t>
            </w:r>
            <w:r>
              <w:rPr>
                <w:rFonts w:hint="eastAsia" w:ascii="宋体" w:hAnsi="宋体" w:cs="Times New Roman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刘捷宇</w:t>
            </w:r>
          </w:p>
          <w:p w14:paraId="02B91777">
            <w:p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诺德基金 牛致远</w:t>
            </w:r>
          </w:p>
          <w:p w14:paraId="43B2A4A2">
            <w:p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兴全基金 任相栋、谢书英、王哲宇、姚佳</w:t>
            </w:r>
          </w:p>
          <w:p w14:paraId="11C5DE04">
            <w:p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浙商机械 蒋逸</w:t>
            </w:r>
          </w:p>
          <w:p w14:paraId="6EE2F241">
            <w:p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中交资本  赵博</w:t>
            </w:r>
          </w:p>
          <w:p w14:paraId="13749E4E">
            <w:pPr>
              <w:spacing w:line="480" w:lineRule="atLeast"/>
              <w:ind w:firstLine="0" w:firstLineChars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中庚基金 陆艺飞 王啊涛</w:t>
            </w:r>
          </w:p>
          <w:p w14:paraId="70DC983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（按汉字拼音首字母顺序排列）</w:t>
            </w:r>
          </w:p>
        </w:tc>
      </w:tr>
      <w:tr w14:paraId="6DDC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vAlign w:val="center"/>
          </w:tcPr>
          <w:p w14:paraId="7B732EEB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93" w:type="dxa"/>
          </w:tcPr>
          <w:p w14:paraId="0CDBF897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3551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vAlign w:val="center"/>
          </w:tcPr>
          <w:p w14:paraId="3F0929F6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93" w:type="dxa"/>
          </w:tcPr>
          <w:p w14:paraId="5D9B993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浙江</w:t>
            </w:r>
            <w:r>
              <w:rPr>
                <w:rFonts w:ascii="Cambria Math" w:hAnsi="Cambria Math" w:cs="Cambria Math"/>
                <w:bCs/>
                <w:iCs/>
                <w:sz w:val="24"/>
                <w:szCs w:val="24"/>
              </w:rPr>
              <w:t>∙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湖州安吉</w:t>
            </w:r>
            <w:r>
              <w:rPr>
                <w:rFonts w:ascii="Cambria Math" w:hAnsi="Cambria Math" w:cs="Cambria Math"/>
                <w:bCs/>
                <w:iCs/>
                <w:sz w:val="24"/>
                <w:szCs w:val="24"/>
              </w:rPr>
              <w:t>∙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中力股份（北区）</w:t>
            </w:r>
          </w:p>
        </w:tc>
      </w:tr>
      <w:tr w14:paraId="1E2E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vAlign w:val="center"/>
          </w:tcPr>
          <w:p w14:paraId="10DFC7D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</w:t>
            </w:r>
          </w:p>
          <w:p w14:paraId="74032886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93" w:type="dxa"/>
          </w:tcPr>
          <w:p w14:paraId="19DD806D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董事、董事会秘书、副总经理：廖发培</w:t>
            </w:r>
          </w:p>
          <w:p w14:paraId="02C07B30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董事、财务总监：汪时锋</w:t>
            </w:r>
          </w:p>
          <w:p w14:paraId="476A7607">
            <w:pPr>
              <w:spacing w:line="480" w:lineRule="atLeast"/>
              <w:rPr>
                <w:rFonts w:hint="default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自动工业车辆事业部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部长：邱方长</w:t>
            </w:r>
          </w:p>
          <w:p w14:paraId="26BD1279">
            <w:pPr>
              <w:spacing w:line="480" w:lineRule="atLeast"/>
              <w:rPr>
                <w:rFonts w:hint="default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证券事务代表：吴碧青</w:t>
            </w:r>
          </w:p>
          <w:p w14:paraId="159C365B">
            <w:pPr>
              <w:spacing w:line="480" w:lineRule="atLeast"/>
              <w:rPr>
                <w:rFonts w:hint="eastAsia" w:ascii="宋体" w:hAnsi="宋体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证券事务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专员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王德仁</w:t>
            </w:r>
          </w:p>
          <w:p w14:paraId="3836823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</w:tc>
      </w:tr>
      <w:tr w14:paraId="1698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931" w:type="dxa"/>
            <w:vAlign w:val="center"/>
          </w:tcPr>
          <w:p w14:paraId="673E331D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583BBDB8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93" w:type="dxa"/>
          </w:tcPr>
          <w:p w14:paraId="7F0E8A96">
            <w:pPr>
              <w:spacing w:line="480" w:lineRule="atLeast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 xml:space="preserve">一、活动流程 </w:t>
            </w:r>
          </w:p>
          <w:p w14:paraId="6BE7A7C8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 xml:space="preserve">1、参观公司展厅及产线、智慧物流应用场景； </w:t>
            </w:r>
          </w:p>
          <w:p w14:paraId="282BC905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2、公司情况介绍，数智仓储、智能物流情况介绍；</w:t>
            </w:r>
          </w:p>
          <w:p w14:paraId="3EEEFF41">
            <w:pPr>
              <w:spacing w:line="480" w:lineRule="atLeast"/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3、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第三季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度业绩情况交流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；</w:t>
            </w:r>
          </w:p>
          <w:p w14:paraId="30E41666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4、互动交流。</w:t>
            </w:r>
          </w:p>
          <w:p w14:paraId="63A2E21B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  <w:p w14:paraId="393C02D9">
            <w:pPr>
              <w:spacing w:line="480" w:lineRule="atLeast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二、互动交流</w:t>
            </w:r>
          </w:p>
          <w:p w14:paraId="317056D9">
            <w:pPr>
              <w:autoSpaceDE w:val="0"/>
              <w:autoSpaceDN w:val="0"/>
              <w:spacing w:before="120" w:beforeLines="50" w:line="360" w:lineRule="auto"/>
              <w:ind w:right="232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、数智物流业务在海外的推进情况如何呢？</w:t>
            </w:r>
          </w:p>
          <w:p w14:paraId="16944500">
            <w:pPr>
              <w:numPr>
                <w:ilvl w:val="0"/>
                <w:numId w:val="0"/>
              </w:numPr>
              <w:autoSpaceDE w:val="0"/>
              <w:autoSpaceDN w:val="0"/>
              <w:spacing w:before="120" w:beforeLines="50" w:line="360" w:lineRule="auto"/>
              <w:ind w:right="232" w:rightChars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感谢您对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海外全球化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的关注。公司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数智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物流业务在海外市场的拓展正按既定战略稳步推进，具体而言，进展主要体现在两个层面：</w:t>
            </w:r>
          </w:p>
          <w:p w14:paraId="48854472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第一，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产品级业务已形成稳定基础：公司早期以标准化、模块化的智能搬运设备（如各类电动搬运车、智能叉车）切入海外市场。在全球制造业与物流业中建立了广泛客户基础，目前构成了海外业务收入的稳定支撑。</w:t>
            </w:r>
          </w:p>
          <w:p w14:paraId="3146A524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第二，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模式级解决方案正在逐步推广：在硬件产品的基础上，公司正将国内已成熟的、针对特定场景的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设备+流程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解决方案向海外市场适配与推广，提供包含多设备协同及初步调度管理的自动化方案，以创造更高的客户价值与业务增量。</w:t>
            </w:r>
          </w:p>
          <w:p w14:paraId="5EFB2B6E">
            <w:pPr>
              <w:numPr>
                <w:ilvl w:val="0"/>
                <w:numId w:val="0"/>
              </w:numPr>
              <w:autoSpaceDE w:val="0"/>
              <w:autoSpaceDN w:val="0"/>
              <w:spacing w:before="120" w:beforeLines="50" w:line="360" w:lineRule="auto"/>
              <w:ind w:right="232" w:rightChars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总而言之，公司智能搬运业务的海外拓展正处于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产品引领、方案跟进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的健康成长阶段，对其成为公司未来业绩的重要增长引擎充满信心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45F5C7EF">
            <w:pPr>
              <w:numPr>
                <w:ilvl w:val="0"/>
                <w:numId w:val="0"/>
              </w:numPr>
              <w:autoSpaceDE w:val="0"/>
              <w:autoSpaceDN w:val="0"/>
              <w:spacing w:before="120" w:beforeLines="50" w:line="360" w:lineRule="auto"/>
              <w:ind w:right="232" w:rightChars="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、数智物流业务是会根据客户的需求场景然后去定制开发吗？</w:t>
            </w: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并且核心的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操作系统软件都是我们自己研发的吗？</w:t>
            </w:r>
          </w:p>
          <w:p w14:paraId="65DAADBF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right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答：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感谢您提出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的问题，它关乎业务的规模化能力和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技术核心层面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。公司的理念是基于标准化产品进行场景化运营，而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并非进行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传统的、高成本的完全定制开发。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且在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提供的智能搬运解决方案中，其核心的操作系统、调度平台及配套软件均为公司完全自主研发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这确保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公司能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实现最优控制：根据自身设备特性进行深度优化，实现硬件效能最大化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；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同时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障数据安全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所有业务流程和数据均在自主可控的系统内流转，满足客户对生产运营数据安全性的高要求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1FF98CE5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具体来看，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公司会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将物流场景中通用的核心需求（如搬运、存储、分拣、调度）沉淀为标准化的硬件产品和软件功能模块。这确保了系统的可靠性、稳定性和快速交付能力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，同时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针对行业中普遍存在的特定场景（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制造车间的产线物料精准配送），将标准化的产品与模块进行组合，形成经过验证的场景化解决方案。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一个场景在某个行业或头部客户处取得显著成效后，它会成为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具有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参考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性的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案例。当其他具有类似需求的客户对成功案例进行考察后，该案例所验证的管理模式与运营流程，能够为其决策提供具有说服力的参考依据，并有效推动相关解决方案的推广应用。</w:t>
            </w:r>
          </w:p>
          <w:p w14:paraId="50C237F9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简而言之，公司数智物流业务的发展路径是：将复杂的、非标的场景需求解构并吸收到不断丰富的标准化产品与方案库中，再通过成功的场景化应用案例引导和满足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更多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客户的共性需求。</w:t>
            </w:r>
          </w:p>
          <w:p w14:paraId="536F4158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left="0" w:right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</w:p>
          <w:p w14:paraId="607C012B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left="0" w:right="0" w:firstLine="482" w:firstLineChars="200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、刚刚在视频之中我们也可以清楚地看到，具体应用的有汽车行业以及酿酒行业，那么针对不同的行业，是否需要单独的投入资源开发呢？</w:t>
            </w:r>
          </w:p>
          <w:p w14:paraId="0D0CF967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right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答：非常感谢您的细致观察。不同行业需求有所不同，在解决方案构建的初期，确实需要针对性的行业洞察与资源投入，但一旦完成从0到1的突破，实现从1到10甚至100的跨客户复制，其效率和确定性将大幅提升。如对于汽车行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：核心需求是高精度、序列化、准时化的产线物料配送，与生产节拍深度绑定，容错率极低。面对这些独特的行业需求，不可能用一套完全相同的方案去应对。因此，在进入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个新的行业初期，都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投入资源进行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场景调研、关键技术适配、流程再造设计等。通过在某行业内实现首个完整的项目验证，形成一套可复制的场景解决方案模型。当在特定行业完成首个全流程验证后，即意味着形成了该场景下可系统化实施与迭代的关键路径与方法。后续拓展将变得高效：将首个项目中解决的复杂问题拆解并固化到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可配置的软件功能模块、可选的硬件模组以及标准化的运营流程手册中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，当同行业的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其他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客户提出需求时，可以迅速调用，在标准化框架内进行高效配置，以应对客户的个性化细节差异。</w:t>
            </w:r>
          </w:p>
          <w:p w14:paraId="4DE14EB0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总而言之，公司的策略是：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以必要的初始资源投入，穿透不同行业的壁垒，完成行业解决方案的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首台套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突破；而后，凭借标准化、模块化产品与方案体系，将成功的经验快速复制到该行业的广大客户中去。</w:t>
            </w:r>
          </w:p>
          <w:p w14:paraId="6B336CDC"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120" w:beforeAutospacing="0" w:after="120" w:afterAutospacing="0" w:line="360" w:lineRule="auto"/>
              <w:ind w:right="0" w:rightChars="0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、那么就公司目前的状况来说，是否有正处于1-10这种复制阶段的客户？未来是否还有其它从</w:t>
            </w: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0到1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zh-CN"/>
              </w:rPr>
              <w:t>的其它行业的开发场景呢？</w:t>
            </w:r>
          </w:p>
          <w:p w14:paraId="3F3CD6F4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right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答案是肯定的，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已经拥有了多个典型的、正处于快速复制阶段的行业和客户群。</w:t>
            </w:r>
          </w:p>
          <w:p w14:paraId="050C66E0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right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具体来说，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的标准化场景解决方案，已在以下几个重点行业实现了从标杆试点到多客户、多场地复制的跨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越：</w:t>
            </w:r>
          </w:p>
          <w:p w14:paraId="7704D3E7"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120" w:beforeAutospacing="0" w:after="120" w:afterAutospacing="0" w:line="360" w:lineRule="auto"/>
              <w:ind w:left="0" w:leftChars="0" w:right="0" w:rightChars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（1）电商及快递物联行业：公司提供的智能搬运解决方案，已从早期的单点应用，推广至该行业头部企业的多个核心枢纽与分拨中心，实现了跨区域的规模化部署；</w:t>
            </w:r>
          </w:p>
          <w:p w14:paraId="0704DB23"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120" w:beforeAutospacing="0" w:after="120" w:afterAutospacing="0" w:line="360" w:lineRule="auto"/>
              <w:ind w:left="0" w:leftChars="0" w:right="0" w:rightChars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（2）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汽车制造及零部件行业：公司和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行业领先企业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建立战略合作关系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，共同打磨出契合汽车行业高节拍、高精度要求的产线物料配送解决方案。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基于项目上沉淀的标准方案和行业口碑，将该解决方案向更多主流车企推广。虽然每家客户的生产布局有细微差异，但核心的流程逻辑、设备选型和调度算法都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逐渐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模块化，能够实现快速适配和部署，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有效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缩短了交付周期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02C0B493">
            <w:pPr>
              <w:pStyle w:val="8"/>
              <w:keepNext w:val="0"/>
              <w:keepLines w:val="0"/>
              <w:widowControl/>
              <w:suppressLineNumbers w:val="0"/>
              <w:shd w:val="clear" w:fill="FFFFFF"/>
              <w:spacing w:before="120" w:beforeAutospacing="0" w:after="120" w:afterAutospacing="0" w:line="360" w:lineRule="auto"/>
              <w:ind w:right="0" w:firstLine="480" w:firstLineChars="20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除了以上两个领域，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在纺织、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医药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等行业也观察到了类似的趋势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，基于其明确的痛点、可规模化的市场空间以及与公司产品技术能力的匹配度，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严格遵循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公司“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深入场景、打造标杆、标准化复制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的一贯策略。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将持续进行市场洞察和技术预研，不断丰富和延伸行业解决方案矩阵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。</w:t>
            </w:r>
          </w:p>
          <w:p w14:paraId="0F20B3D8">
            <w:pPr>
              <w:pStyle w:val="8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120" w:beforeAutospacing="0" w:after="120" w:afterAutospacing="0" w:line="360" w:lineRule="auto"/>
              <w:ind w:left="0" w:leftChars="0" w:right="0" w:rightChars="0"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综上所述，当前的发展态势表明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zh-CN"/>
              </w:rPr>
              <w:t>公司已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跨越了单纯的项目定制化阶段，进入了以标准化、模块化解决方案驱动增长的新周期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zh-CN"/>
              </w:rPr>
              <w:t>随着各行业解决方案库的不断丰富和成熟，这种高效复制的效应会越来越显著，为公司带来持续、稳健的业务增长。</w:t>
            </w:r>
          </w:p>
          <w:p w14:paraId="1FA5D25D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</w:p>
        </w:tc>
      </w:tr>
      <w:tr w14:paraId="542D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Align w:val="center"/>
          </w:tcPr>
          <w:p w14:paraId="676F6A13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693" w:type="dxa"/>
          </w:tcPr>
          <w:p w14:paraId="38454321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286E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vAlign w:val="center"/>
          </w:tcPr>
          <w:p w14:paraId="60ACA70F">
            <w:pP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93" w:type="dxa"/>
          </w:tcPr>
          <w:p w14:paraId="5A91DA3E">
            <w:pPr>
              <w:spacing w:line="480" w:lineRule="atLeast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</w:tbl>
    <w:p w14:paraId="03B5AC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mUwOTBlYTVlMmIzMWQ1NjQ2Y2Y2ZjQwNjc4M2MifQ=="/>
  </w:docVars>
  <w:rsids>
    <w:rsidRoot w:val="006B0E6C"/>
    <w:rsid w:val="00012FF9"/>
    <w:rsid w:val="00024B0C"/>
    <w:rsid w:val="00026B32"/>
    <w:rsid w:val="000319E4"/>
    <w:rsid w:val="000567C9"/>
    <w:rsid w:val="000725F0"/>
    <w:rsid w:val="0007685E"/>
    <w:rsid w:val="0009705E"/>
    <w:rsid w:val="000B749A"/>
    <w:rsid w:val="000E5E3F"/>
    <w:rsid w:val="000F0580"/>
    <w:rsid w:val="00102412"/>
    <w:rsid w:val="00140897"/>
    <w:rsid w:val="001471A8"/>
    <w:rsid w:val="001624AA"/>
    <w:rsid w:val="001B3C99"/>
    <w:rsid w:val="001C7E6F"/>
    <w:rsid w:val="001D4ADB"/>
    <w:rsid w:val="001D5099"/>
    <w:rsid w:val="001D5862"/>
    <w:rsid w:val="001E7AAB"/>
    <w:rsid w:val="002506CB"/>
    <w:rsid w:val="002738EB"/>
    <w:rsid w:val="002A1DD2"/>
    <w:rsid w:val="002A5AE9"/>
    <w:rsid w:val="002C1BE0"/>
    <w:rsid w:val="002C236D"/>
    <w:rsid w:val="002C257C"/>
    <w:rsid w:val="002D4EB5"/>
    <w:rsid w:val="002E4C56"/>
    <w:rsid w:val="00341F42"/>
    <w:rsid w:val="00353A22"/>
    <w:rsid w:val="00390F87"/>
    <w:rsid w:val="003A2F8E"/>
    <w:rsid w:val="00400BF7"/>
    <w:rsid w:val="00402F61"/>
    <w:rsid w:val="00406E0C"/>
    <w:rsid w:val="004141EC"/>
    <w:rsid w:val="0045011A"/>
    <w:rsid w:val="004679DD"/>
    <w:rsid w:val="0048673F"/>
    <w:rsid w:val="004B273D"/>
    <w:rsid w:val="004B50E8"/>
    <w:rsid w:val="004B66F0"/>
    <w:rsid w:val="004C5FBC"/>
    <w:rsid w:val="00507C47"/>
    <w:rsid w:val="00523713"/>
    <w:rsid w:val="00523E68"/>
    <w:rsid w:val="00563454"/>
    <w:rsid w:val="005A1266"/>
    <w:rsid w:val="005B6121"/>
    <w:rsid w:val="005D4382"/>
    <w:rsid w:val="005D5D85"/>
    <w:rsid w:val="00607ACD"/>
    <w:rsid w:val="00637635"/>
    <w:rsid w:val="006526A4"/>
    <w:rsid w:val="00656DA9"/>
    <w:rsid w:val="006627D7"/>
    <w:rsid w:val="006665D0"/>
    <w:rsid w:val="00677225"/>
    <w:rsid w:val="00684C11"/>
    <w:rsid w:val="00687C01"/>
    <w:rsid w:val="006B0E6C"/>
    <w:rsid w:val="006B7EA4"/>
    <w:rsid w:val="006E316F"/>
    <w:rsid w:val="006E5E91"/>
    <w:rsid w:val="00711003"/>
    <w:rsid w:val="00731640"/>
    <w:rsid w:val="00733B61"/>
    <w:rsid w:val="007A7869"/>
    <w:rsid w:val="007E4680"/>
    <w:rsid w:val="007F5CBB"/>
    <w:rsid w:val="0082201F"/>
    <w:rsid w:val="008251D4"/>
    <w:rsid w:val="0082608C"/>
    <w:rsid w:val="00834152"/>
    <w:rsid w:val="008452B6"/>
    <w:rsid w:val="00847741"/>
    <w:rsid w:val="00862FD7"/>
    <w:rsid w:val="008757E2"/>
    <w:rsid w:val="0088003D"/>
    <w:rsid w:val="008920C5"/>
    <w:rsid w:val="00893294"/>
    <w:rsid w:val="008A05FF"/>
    <w:rsid w:val="008B50AF"/>
    <w:rsid w:val="008C2311"/>
    <w:rsid w:val="008D6036"/>
    <w:rsid w:val="008F7B68"/>
    <w:rsid w:val="00915919"/>
    <w:rsid w:val="0094524F"/>
    <w:rsid w:val="0095082C"/>
    <w:rsid w:val="009572F5"/>
    <w:rsid w:val="00964EC8"/>
    <w:rsid w:val="009A7C52"/>
    <w:rsid w:val="009B74E9"/>
    <w:rsid w:val="009C0D7B"/>
    <w:rsid w:val="009E28F7"/>
    <w:rsid w:val="009F7FC9"/>
    <w:rsid w:val="00A14C40"/>
    <w:rsid w:val="00A55DD9"/>
    <w:rsid w:val="00A721C6"/>
    <w:rsid w:val="00A76DAD"/>
    <w:rsid w:val="00AA18AF"/>
    <w:rsid w:val="00AA5CA4"/>
    <w:rsid w:val="00AC10E3"/>
    <w:rsid w:val="00AF58D5"/>
    <w:rsid w:val="00B153F6"/>
    <w:rsid w:val="00B540CC"/>
    <w:rsid w:val="00B5502C"/>
    <w:rsid w:val="00B9522E"/>
    <w:rsid w:val="00BA22D8"/>
    <w:rsid w:val="00BA317D"/>
    <w:rsid w:val="00BA7566"/>
    <w:rsid w:val="00BB062A"/>
    <w:rsid w:val="00BC30BC"/>
    <w:rsid w:val="00BC4429"/>
    <w:rsid w:val="00C04C5F"/>
    <w:rsid w:val="00C1199C"/>
    <w:rsid w:val="00C277E3"/>
    <w:rsid w:val="00C34A89"/>
    <w:rsid w:val="00C42A9B"/>
    <w:rsid w:val="00C43D8D"/>
    <w:rsid w:val="00C6373E"/>
    <w:rsid w:val="00CA4B6F"/>
    <w:rsid w:val="00CB10AD"/>
    <w:rsid w:val="00CE453C"/>
    <w:rsid w:val="00D275D1"/>
    <w:rsid w:val="00D3401F"/>
    <w:rsid w:val="00DA2E08"/>
    <w:rsid w:val="00DA33FA"/>
    <w:rsid w:val="00E21A42"/>
    <w:rsid w:val="00E60C15"/>
    <w:rsid w:val="00E63305"/>
    <w:rsid w:val="00E70E7E"/>
    <w:rsid w:val="00E731FF"/>
    <w:rsid w:val="00E977B9"/>
    <w:rsid w:val="00EA6C50"/>
    <w:rsid w:val="00ED2E98"/>
    <w:rsid w:val="00F02073"/>
    <w:rsid w:val="00F0255E"/>
    <w:rsid w:val="00F13448"/>
    <w:rsid w:val="00F1460F"/>
    <w:rsid w:val="00FA0531"/>
    <w:rsid w:val="00FB0A30"/>
    <w:rsid w:val="00FB63DB"/>
    <w:rsid w:val="00FD5FFE"/>
    <w:rsid w:val="00FF0C19"/>
    <w:rsid w:val="01033B0B"/>
    <w:rsid w:val="03161EC4"/>
    <w:rsid w:val="036624E2"/>
    <w:rsid w:val="04A2573B"/>
    <w:rsid w:val="097C2730"/>
    <w:rsid w:val="10B75BCF"/>
    <w:rsid w:val="11CC15E8"/>
    <w:rsid w:val="138B6D79"/>
    <w:rsid w:val="143936D8"/>
    <w:rsid w:val="14AB3737"/>
    <w:rsid w:val="19687E48"/>
    <w:rsid w:val="1B245F4B"/>
    <w:rsid w:val="20484530"/>
    <w:rsid w:val="23DB0CFF"/>
    <w:rsid w:val="27820E25"/>
    <w:rsid w:val="28427FAC"/>
    <w:rsid w:val="2C7E555C"/>
    <w:rsid w:val="2FA6283A"/>
    <w:rsid w:val="305111DE"/>
    <w:rsid w:val="30E65DCB"/>
    <w:rsid w:val="31AB2B70"/>
    <w:rsid w:val="32580DB8"/>
    <w:rsid w:val="333F7FD5"/>
    <w:rsid w:val="34D54555"/>
    <w:rsid w:val="34DB551B"/>
    <w:rsid w:val="35BA15D4"/>
    <w:rsid w:val="39B32F0A"/>
    <w:rsid w:val="3D6A1B31"/>
    <w:rsid w:val="422E137F"/>
    <w:rsid w:val="427F3924"/>
    <w:rsid w:val="42D55C9F"/>
    <w:rsid w:val="430A338A"/>
    <w:rsid w:val="430E5F3A"/>
    <w:rsid w:val="431C38CE"/>
    <w:rsid w:val="49900928"/>
    <w:rsid w:val="4A4B6399"/>
    <w:rsid w:val="4D3C424C"/>
    <w:rsid w:val="4FEE214E"/>
    <w:rsid w:val="50E53551"/>
    <w:rsid w:val="52112EE8"/>
    <w:rsid w:val="526C7226"/>
    <w:rsid w:val="55620BB0"/>
    <w:rsid w:val="570F30D6"/>
    <w:rsid w:val="57C7266E"/>
    <w:rsid w:val="5A9B2ED2"/>
    <w:rsid w:val="5D58096B"/>
    <w:rsid w:val="5F97635E"/>
    <w:rsid w:val="6196077A"/>
    <w:rsid w:val="63FA21A1"/>
    <w:rsid w:val="64194A1E"/>
    <w:rsid w:val="65640F66"/>
    <w:rsid w:val="675B18CF"/>
    <w:rsid w:val="698A2A90"/>
    <w:rsid w:val="6A333127"/>
    <w:rsid w:val="6B317667"/>
    <w:rsid w:val="6BFA38B5"/>
    <w:rsid w:val="702B30AF"/>
    <w:rsid w:val="754911D3"/>
    <w:rsid w:val="767A3346"/>
    <w:rsid w:val="771E4103"/>
    <w:rsid w:val="79951709"/>
    <w:rsid w:val="7B5C31C8"/>
    <w:rsid w:val="7EE12CFA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2526</Words>
  <Characters>2554</Characters>
  <Lines>13</Lines>
  <Paragraphs>3</Paragraphs>
  <TotalTime>12</TotalTime>
  <ScaleCrop>false</ScaleCrop>
  <LinksUpToDate>false</LinksUpToDate>
  <CharactersWithSpaces>2683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2021-03-02T08:03:00Z</dcterms:created>
  <dc:creator>张园园</dc:creator>
  <cp:lastModifiedBy>。</cp:lastModifiedBy>
  <dcterms:modified xsi:type="dcterms:W3CDTF">2025-12-26T02:04:12Z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7F74297A43864AA2A5661295627E6D33_13</vt:lpwstr>
  </property>
  <property fmtid="{D5CDD505-2E9C-101B-9397-08002B2CF9AE}" pid="4" name="KSOTemplateDocerSaveRecord">
    <vt:lpwstr>eyJoZGlkIjoiN2FiZmE1Yjc1YjUyZjRkMzZhNzkxNTM0N2VkYjYzYjIiLCJ1c2VySWQiOiI0NDA0ODk2MDYifQ==</vt:lpwstr>
  </property>
</Properties>
</file>