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E05" w14:textId="74EE55DE" w:rsidR="000D6680" w:rsidRPr="005C004B" w:rsidRDefault="0062621C" w:rsidP="00ED6B02">
      <w:pPr>
        <w:spacing w:beforeLines="50" w:before="156" w:afterLines="50" w:after="156" w:line="400" w:lineRule="exact"/>
        <w:jc w:val="center"/>
        <w:rPr>
          <w:rFonts w:asciiTheme="majorEastAsia" w:eastAsiaTheme="majorEastAsia" w:hAnsiTheme="majorEastAsia" w:hint="eastAsia"/>
          <w:bCs/>
          <w:iCs/>
          <w:color w:val="000000"/>
          <w:sz w:val="24"/>
        </w:rPr>
      </w:pPr>
      <w:r>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proofErr w:type="gramStart"/>
      <w:r w:rsidRPr="005C004B">
        <w:rPr>
          <w:rFonts w:asciiTheme="majorEastAsia" w:eastAsiaTheme="majorEastAsia" w:hAnsiTheme="majorEastAsia"/>
          <w:color w:val="000000"/>
          <w:sz w:val="24"/>
        </w:rPr>
        <w:t>翔港科技</w:t>
      </w:r>
      <w:proofErr w:type="gramEnd"/>
    </w:p>
    <w:p w14:paraId="0CBC78A8" w14:textId="77777777" w:rsidR="005C004B" w:rsidRPr="0062621C" w:rsidRDefault="005C004B" w:rsidP="0062621C">
      <w:pPr>
        <w:spacing w:beforeLines="50" w:before="156" w:afterLines="50" w:after="156" w:line="400" w:lineRule="exact"/>
        <w:jc w:val="center"/>
        <w:rPr>
          <w:rFonts w:ascii="宋体" w:hAnsi="宋体" w:hint="eastAsia"/>
          <w:b/>
          <w:bCs/>
          <w:iCs/>
          <w:color w:val="000000"/>
          <w:szCs w:val="21"/>
        </w:rPr>
      </w:pPr>
    </w:p>
    <w:p w14:paraId="2EF4AB50" w14:textId="77777777" w:rsidR="006442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89D2D3A" w14:textId="3D7E4314" w:rsidR="00644284" w:rsidRPr="00644284" w:rsidRDefault="00644284" w:rsidP="00644284">
      <w:pPr>
        <w:spacing w:beforeLines="50" w:before="156" w:afterLines="50" w:after="156" w:line="400" w:lineRule="exact"/>
        <w:jc w:val="center"/>
        <w:rPr>
          <w:rFonts w:ascii="宋体" w:hAnsi="宋体" w:hint="eastAsia"/>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w:t>
      </w:r>
      <w:r w:rsidR="001C52B0">
        <w:rPr>
          <w:rFonts w:ascii="宋体" w:hAnsi="宋体" w:hint="eastAsia"/>
          <w:iCs/>
          <w:color w:val="000000"/>
          <w:sz w:val="20"/>
          <w:szCs w:val="20"/>
        </w:rPr>
        <w:t>5</w:t>
      </w:r>
      <w:r w:rsidRPr="00644284">
        <w:rPr>
          <w:rFonts w:ascii="宋体" w:hAnsi="宋体"/>
          <w:iCs/>
          <w:color w:val="000000"/>
          <w:sz w:val="20"/>
          <w:szCs w:val="20"/>
        </w:rPr>
        <w:t>-</w:t>
      </w:r>
      <w:r w:rsidR="003B6C98">
        <w:rPr>
          <w:rFonts w:ascii="宋体" w:hAnsi="宋体" w:hint="eastAsia"/>
          <w:iCs/>
          <w:color w:val="000000"/>
          <w:sz w:val="20"/>
          <w:szCs w:val="20"/>
        </w:rPr>
        <w:t>0</w:t>
      </w:r>
      <w:r w:rsidR="00535A80">
        <w:rPr>
          <w:rFonts w:ascii="宋体" w:hAnsi="宋体" w:hint="eastAsia"/>
          <w:iCs/>
          <w:color w:val="000000"/>
          <w:sz w:val="20"/>
          <w:szCs w:val="20"/>
        </w:rPr>
        <w:t>1</w:t>
      </w:r>
      <w:r w:rsidR="006B3178">
        <w:rPr>
          <w:rFonts w:ascii="宋体" w:hAnsi="宋体" w:hint="eastAsia"/>
          <w:iCs/>
          <w:color w:val="000000"/>
          <w:sz w:val="20"/>
          <w:szCs w:val="20"/>
        </w:rPr>
        <w:t>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1C6A78F" w14:textId="0B5485BE" w:rsidR="000D6680" w:rsidRPr="002D24FC"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D16EF0B" w14:textId="16C8E562" w:rsidR="000D6680" w:rsidRPr="005C004B" w:rsidRDefault="00A33B45">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kern w:val="0"/>
                <w:sz w:val="24"/>
              </w:rPr>
              <w:t xml:space="preserve">特定对象调研       </w:t>
            </w:r>
            <w:r w:rsidR="002804C3" w:rsidRPr="005C004B">
              <w:rPr>
                <w:rFonts w:asciiTheme="majorEastAsia" w:eastAsiaTheme="majorEastAsia" w:hAnsiTheme="majorEastAsia" w:hint="eastAsia"/>
                <w:kern w:val="0"/>
                <w:sz w:val="24"/>
              </w:rPr>
              <w:t xml:space="preserve"> </w:t>
            </w:r>
            <w:r w:rsidR="002804C3" w:rsidRPr="005C004B">
              <w:rPr>
                <w:rFonts w:asciiTheme="majorEastAsia" w:eastAsiaTheme="majorEastAsia" w:hAnsiTheme="majorEastAsia"/>
                <w:kern w:val="0"/>
                <w:sz w:val="24"/>
              </w:rPr>
              <w:t xml:space="preserve"> </w:t>
            </w:r>
            <w:r w:rsidR="002804C3"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hint="eastAsia"/>
                <w:bCs/>
                <w:iCs/>
                <w:color w:val="000000"/>
                <w:kern w:val="0"/>
                <w:sz w:val="24"/>
              </w:rPr>
              <w:t xml:space="preserve"> </w:t>
            </w:r>
            <w:r w:rsidR="002804C3" w:rsidRPr="005C004B">
              <w:rPr>
                <w:rFonts w:asciiTheme="majorEastAsia" w:eastAsiaTheme="majorEastAsia" w:hAnsiTheme="majorEastAsia"/>
                <w:kern w:val="0"/>
                <w:sz w:val="24"/>
              </w:rPr>
              <w:t>分析师会议</w:t>
            </w:r>
          </w:p>
          <w:p w14:paraId="63DD4785" w14:textId="144DD745"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00A33B45"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proofErr w:type="gramStart"/>
            <w:r w:rsidRPr="005C004B">
              <w:rPr>
                <w:rFonts w:asciiTheme="majorEastAsia" w:eastAsiaTheme="majorEastAsia" w:hAnsiTheme="majorEastAsia"/>
                <w:kern w:val="0"/>
                <w:sz w:val="24"/>
                <w:u w:val="single"/>
              </w:rPr>
              <w:t>请文字</w:t>
            </w:r>
            <w:proofErr w:type="gramEnd"/>
            <w:r w:rsidRPr="005C004B">
              <w:rPr>
                <w:rFonts w:asciiTheme="majorEastAsia" w:eastAsiaTheme="majorEastAsia" w:hAnsiTheme="majorEastAsia"/>
                <w:kern w:val="0"/>
                <w:sz w:val="24"/>
                <w:u w:val="single"/>
              </w:rPr>
              <w:t>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2C5B06" w:rsidRDefault="00000000">
            <w:pPr>
              <w:spacing w:line="420" w:lineRule="exact"/>
              <w:rPr>
                <w:rFonts w:asciiTheme="majorEastAsia" w:eastAsiaTheme="majorEastAsia" w:hAnsiTheme="majorEastAsia" w:hint="eastAsia"/>
                <w:bCs/>
                <w:iCs/>
                <w:color w:val="000000"/>
                <w:kern w:val="0"/>
                <w:sz w:val="24"/>
              </w:rPr>
            </w:pPr>
            <w:r w:rsidRPr="002C5B06">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2E065CCB" w:rsidR="000D6680" w:rsidRPr="002C5B06" w:rsidRDefault="006B3178" w:rsidP="00B42500">
            <w:pPr>
              <w:rPr>
                <w:rFonts w:asciiTheme="majorEastAsia" w:eastAsiaTheme="majorEastAsia" w:hAnsiTheme="majorEastAsia" w:hint="eastAsia"/>
                <w:bCs/>
                <w:iCs/>
                <w:color w:val="000000"/>
                <w:sz w:val="24"/>
                <w:lang w:val="en-GB"/>
              </w:rPr>
            </w:pPr>
            <w:r w:rsidRPr="002C5B06">
              <w:rPr>
                <w:rFonts w:asciiTheme="majorEastAsia" w:eastAsiaTheme="majorEastAsia" w:hAnsiTheme="majorEastAsia" w:hint="eastAsia"/>
                <w:bCs/>
                <w:iCs/>
                <w:color w:val="000000"/>
                <w:sz w:val="24"/>
                <w:lang w:val="en-GB"/>
              </w:rPr>
              <w:t>上海恒如投资管理有限公司、</w:t>
            </w:r>
            <w:r w:rsidR="006B6DD2" w:rsidRPr="002C5B06">
              <w:rPr>
                <w:rFonts w:asciiTheme="majorEastAsia" w:eastAsiaTheme="majorEastAsia" w:hAnsiTheme="majorEastAsia" w:hint="eastAsia"/>
                <w:bCs/>
                <w:iCs/>
                <w:color w:val="000000"/>
                <w:sz w:val="24"/>
                <w:lang w:val="en-GB"/>
              </w:rPr>
              <w:t>天风证券、</w:t>
            </w:r>
            <w:r w:rsidR="002C5B06" w:rsidRPr="002C5B06">
              <w:rPr>
                <w:rFonts w:asciiTheme="majorEastAsia" w:eastAsiaTheme="majorEastAsia" w:hAnsiTheme="majorEastAsia" w:hint="eastAsia"/>
                <w:bCs/>
                <w:iCs/>
                <w:color w:val="000000"/>
                <w:sz w:val="24"/>
                <w:lang w:val="en-GB"/>
              </w:rPr>
              <w:t>上海亨雨实业投资有限公司、兴业证券、</w:t>
            </w:r>
            <w:r w:rsidR="00535A80" w:rsidRPr="002C5B06">
              <w:rPr>
                <w:rFonts w:asciiTheme="majorEastAsia" w:eastAsiaTheme="majorEastAsia" w:hAnsiTheme="majorEastAsia" w:hint="eastAsia"/>
                <w:bCs/>
                <w:iCs/>
                <w:color w:val="000000"/>
                <w:sz w:val="24"/>
                <w:lang w:val="en-GB"/>
              </w:rPr>
              <w:t>个人投资者</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133C7AEE"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1C52B0">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年</w:t>
            </w:r>
            <w:r w:rsidR="00E753CC">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月</w:t>
            </w:r>
            <w:r w:rsidR="006B6DD2">
              <w:rPr>
                <w:rFonts w:asciiTheme="majorEastAsia" w:eastAsiaTheme="majorEastAsia" w:hAnsiTheme="majorEastAsia" w:hint="eastAsia"/>
                <w:bCs/>
                <w:iCs/>
                <w:color w:val="000000"/>
                <w:sz w:val="24"/>
              </w:rPr>
              <w:t>25</w:t>
            </w:r>
            <w:r w:rsidRPr="005C004B">
              <w:rPr>
                <w:rFonts w:asciiTheme="majorEastAsia" w:eastAsiaTheme="majorEastAsia" w:hAnsiTheme="majorEastAsia"/>
                <w:bCs/>
                <w:iCs/>
                <w:color w:val="000000"/>
                <w:sz w:val="24"/>
              </w:rPr>
              <w:t>日 (</w:t>
            </w:r>
            <w:r w:rsidR="006E2A7B">
              <w:rPr>
                <w:rFonts w:asciiTheme="majorEastAsia" w:eastAsiaTheme="majorEastAsia" w:hAnsiTheme="majorEastAsia" w:hint="eastAsia"/>
                <w:bCs/>
                <w:iCs/>
                <w:color w:val="000000"/>
                <w:sz w:val="24"/>
              </w:rPr>
              <w:t>周</w:t>
            </w:r>
            <w:r w:rsidR="006B6DD2">
              <w:rPr>
                <w:rFonts w:asciiTheme="majorEastAsia" w:eastAsiaTheme="majorEastAsia" w:hAnsiTheme="majorEastAsia" w:hint="eastAsia"/>
                <w:bCs/>
                <w:iCs/>
                <w:color w:val="000000"/>
                <w:sz w:val="24"/>
              </w:rPr>
              <w:t>四</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w:t>
            </w:r>
            <w:r w:rsidR="006B6DD2">
              <w:rPr>
                <w:rFonts w:asciiTheme="majorEastAsia" w:eastAsiaTheme="majorEastAsia" w:hAnsiTheme="majorEastAsia" w:hint="eastAsia"/>
                <w:bCs/>
                <w:iCs/>
                <w:color w:val="000000"/>
                <w:sz w:val="24"/>
              </w:rPr>
              <w:t>4</w:t>
            </w:r>
            <w:r w:rsidRPr="005C004B">
              <w:rPr>
                <w:rFonts w:asciiTheme="majorEastAsia" w:eastAsiaTheme="majorEastAsia" w:hAnsiTheme="majorEastAsia"/>
                <w:bCs/>
                <w:iCs/>
                <w:color w:val="000000"/>
                <w:sz w:val="24"/>
              </w:rPr>
              <w:t>:</w:t>
            </w:r>
            <w:r w:rsidR="006B6DD2">
              <w:rPr>
                <w:rFonts w:asciiTheme="majorEastAsia" w:eastAsiaTheme="majorEastAsia" w:hAnsiTheme="majorEastAsia" w:hint="eastAsia"/>
                <w:bCs/>
                <w:iCs/>
                <w:color w:val="000000"/>
                <w:sz w:val="24"/>
              </w:rPr>
              <w:t>00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w:t>
            </w:r>
            <w:r w:rsidR="006B6DD2">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6B6DD2">
              <w:rPr>
                <w:rFonts w:asciiTheme="majorEastAsia" w:eastAsiaTheme="majorEastAsia" w:hAnsiTheme="majorEastAsia" w:hint="eastAsia"/>
                <w:bCs/>
                <w:iCs/>
                <w:color w:val="000000"/>
                <w:sz w:val="24"/>
              </w:rPr>
              <w:t>00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3F885058" w:rsidR="000D6680" w:rsidRPr="004F4433" w:rsidRDefault="00521CF8" w:rsidP="001C52B0">
            <w:pPr>
              <w:spacing w:line="420" w:lineRule="exact"/>
              <w:rPr>
                <w:rFonts w:asciiTheme="majorEastAsia" w:eastAsiaTheme="majorEastAsia" w:hAnsiTheme="majorEastAsia" w:hint="eastAsia"/>
                <w:sz w:val="24"/>
              </w:rPr>
            </w:pPr>
            <w:r w:rsidRPr="00521CF8">
              <w:rPr>
                <w:rFonts w:asciiTheme="majorEastAsia" w:eastAsiaTheme="majorEastAsia" w:hAnsiTheme="majorEastAsia" w:hint="eastAsia"/>
                <w:sz w:val="24"/>
              </w:rPr>
              <w:t>公司</w:t>
            </w:r>
            <w:r w:rsidR="00D35086">
              <w:rPr>
                <w:rFonts w:asciiTheme="majorEastAsia" w:eastAsiaTheme="majorEastAsia" w:hAnsiTheme="majorEastAsia" w:hint="eastAsia"/>
                <w:sz w:val="24"/>
              </w:rPr>
              <w:t>会议室</w:t>
            </w:r>
          </w:p>
        </w:tc>
      </w:tr>
      <w:tr w:rsidR="000D6680" w:rsidRPr="005C004B" w14:paraId="1E9C85FF" w14:textId="77777777" w:rsidTr="001D7635">
        <w:trPr>
          <w:trHeight w:val="742"/>
        </w:trPr>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8173D6F" w14:textId="0329EC23" w:rsidR="00D35086" w:rsidRPr="005C004B" w:rsidRDefault="001D7635"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1、</w:t>
            </w:r>
            <w:r w:rsidR="00485B78">
              <w:rPr>
                <w:rFonts w:asciiTheme="majorEastAsia" w:eastAsiaTheme="majorEastAsia" w:hAnsiTheme="majorEastAsia" w:hint="eastAsia"/>
                <w:bCs/>
                <w:sz w:val="24"/>
              </w:rPr>
              <w:t>证券事务代表唐珺</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1F20C98" w14:textId="77777777" w:rsidR="00A5666B" w:rsidRP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公司邀请调研对象参观了展厅，实地了解公司的各类产品。后续就公司的发展沿革、整体经营情况等做了介绍。</w:t>
            </w:r>
          </w:p>
          <w:p w14:paraId="2413F11C" w14:textId="2DD9E90E" w:rsid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公司就投资者在本次说明会中提出的问题进行了回复：</w:t>
            </w:r>
          </w:p>
          <w:p w14:paraId="6ECE0AFD" w14:textId="445ABB1E" w:rsidR="006B6DD2" w:rsidRPr="006B6DD2" w:rsidRDefault="006B6DD2" w:rsidP="00A5666B">
            <w:pPr>
              <w:pStyle w:val="Style6"/>
              <w:spacing w:line="460" w:lineRule="exact"/>
              <w:ind w:firstLine="482"/>
              <w:rPr>
                <w:rFonts w:asciiTheme="majorEastAsia" w:eastAsiaTheme="majorEastAsia" w:hAnsiTheme="majorEastAsia" w:hint="eastAsia"/>
                <w:b/>
                <w:bCs/>
                <w:sz w:val="24"/>
                <w:szCs w:val="24"/>
              </w:rPr>
            </w:pPr>
            <w:r w:rsidRPr="006B6DD2">
              <w:rPr>
                <w:rFonts w:asciiTheme="majorEastAsia" w:eastAsiaTheme="majorEastAsia" w:hAnsiTheme="majorEastAsia" w:hint="eastAsia"/>
                <w:b/>
                <w:bCs/>
                <w:sz w:val="24"/>
                <w:szCs w:val="24"/>
              </w:rPr>
              <w:t>1、公司近几年业绩增长迅速，请问是什么原因？</w:t>
            </w:r>
          </w:p>
          <w:p w14:paraId="288C2291" w14:textId="0F40739B" w:rsidR="007F17C4" w:rsidRDefault="007F17C4" w:rsidP="00A5666B">
            <w:pPr>
              <w:pStyle w:val="Style6"/>
              <w:spacing w:line="460" w:lineRule="exact"/>
              <w:ind w:firstLine="480"/>
              <w:rPr>
                <w:rFonts w:asciiTheme="majorEastAsia" w:eastAsiaTheme="majorEastAsia" w:hAnsiTheme="majorEastAsia" w:hint="eastAsia"/>
                <w:sz w:val="24"/>
                <w:szCs w:val="24"/>
              </w:rPr>
            </w:pPr>
            <w:r w:rsidRPr="007F17C4">
              <w:rPr>
                <w:rFonts w:asciiTheme="majorEastAsia" w:eastAsiaTheme="majorEastAsia" w:hAnsiTheme="majorEastAsia" w:hint="eastAsia"/>
                <w:sz w:val="24"/>
                <w:szCs w:val="24"/>
              </w:rPr>
              <w:t>答：一方面，公司持续进行市场开拓，推动销售收入同比增长，利润水平同步提升。另一方面，通过集团化、精细化管理，运营和资源利用效率不断提高。</w:t>
            </w:r>
          </w:p>
          <w:p w14:paraId="404AC0D3" w14:textId="77777777" w:rsidR="007F17C4" w:rsidRDefault="007F17C4" w:rsidP="00A5666B">
            <w:pPr>
              <w:pStyle w:val="Style6"/>
              <w:spacing w:line="460" w:lineRule="exact"/>
              <w:ind w:firstLine="480"/>
              <w:rPr>
                <w:rFonts w:asciiTheme="majorEastAsia" w:eastAsiaTheme="majorEastAsia" w:hAnsiTheme="majorEastAsia" w:hint="eastAsia"/>
                <w:sz w:val="24"/>
                <w:szCs w:val="24"/>
              </w:rPr>
            </w:pPr>
          </w:p>
          <w:p w14:paraId="3A608C26" w14:textId="7F299C4F" w:rsidR="006B6DD2" w:rsidRPr="0001274E" w:rsidRDefault="007B1FE2" w:rsidP="00A5666B">
            <w:pPr>
              <w:pStyle w:val="Style6"/>
              <w:spacing w:line="460" w:lineRule="exact"/>
              <w:ind w:firstLine="482"/>
              <w:rPr>
                <w:rFonts w:asciiTheme="majorEastAsia" w:eastAsiaTheme="majorEastAsia" w:hAnsiTheme="majorEastAsia" w:hint="eastAsia"/>
                <w:b/>
                <w:bCs/>
                <w:sz w:val="24"/>
                <w:szCs w:val="24"/>
              </w:rPr>
            </w:pPr>
            <w:r w:rsidRPr="0001274E">
              <w:rPr>
                <w:rFonts w:asciiTheme="majorEastAsia" w:eastAsiaTheme="majorEastAsia" w:hAnsiTheme="majorEastAsia" w:hint="eastAsia"/>
                <w:b/>
                <w:bCs/>
                <w:sz w:val="24"/>
                <w:szCs w:val="24"/>
              </w:rPr>
              <w:t>2、公司的应收</w:t>
            </w:r>
            <w:proofErr w:type="gramStart"/>
            <w:r w:rsidRPr="0001274E">
              <w:rPr>
                <w:rFonts w:asciiTheme="majorEastAsia" w:eastAsiaTheme="majorEastAsia" w:hAnsiTheme="majorEastAsia" w:hint="eastAsia"/>
                <w:b/>
                <w:bCs/>
                <w:sz w:val="24"/>
                <w:szCs w:val="24"/>
              </w:rPr>
              <w:t>账款</w:t>
            </w:r>
            <w:r w:rsidR="0001274E" w:rsidRPr="0001274E">
              <w:rPr>
                <w:rFonts w:asciiTheme="majorEastAsia" w:eastAsiaTheme="majorEastAsia" w:hAnsiTheme="majorEastAsia" w:hint="eastAsia"/>
                <w:b/>
                <w:bCs/>
                <w:sz w:val="24"/>
                <w:szCs w:val="24"/>
              </w:rPr>
              <w:t>账期是</w:t>
            </w:r>
            <w:proofErr w:type="gramEnd"/>
            <w:r w:rsidR="0001274E" w:rsidRPr="0001274E">
              <w:rPr>
                <w:rFonts w:asciiTheme="majorEastAsia" w:eastAsiaTheme="majorEastAsia" w:hAnsiTheme="majorEastAsia" w:hint="eastAsia"/>
                <w:b/>
                <w:bCs/>
                <w:sz w:val="24"/>
                <w:szCs w:val="24"/>
              </w:rPr>
              <w:t>多久？</w:t>
            </w:r>
          </w:p>
          <w:p w14:paraId="0BAB9BCF" w14:textId="2EEBF490" w:rsidR="007B1FE2" w:rsidRDefault="0001274E" w:rsidP="0001274E">
            <w:pPr>
              <w:pStyle w:val="Style6"/>
              <w:spacing w:line="460" w:lineRule="exact"/>
              <w:ind w:firstLine="480"/>
              <w:rPr>
                <w:rFonts w:asciiTheme="majorEastAsia" w:eastAsiaTheme="majorEastAsia" w:hAnsiTheme="majorEastAsia" w:hint="eastAsia"/>
                <w:sz w:val="24"/>
                <w:szCs w:val="24"/>
              </w:rPr>
            </w:pPr>
            <w:r w:rsidRPr="0001274E">
              <w:rPr>
                <w:rFonts w:asciiTheme="majorEastAsia" w:eastAsiaTheme="majorEastAsia" w:hAnsiTheme="majorEastAsia" w:hint="eastAsia"/>
                <w:sz w:val="24"/>
                <w:szCs w:val="24"/>
              </w:rPr>
              <w:t>答：</w:t>
            </w:r>
            <w:proofErr w:type="gramStart"/>
            <w:r w:rsidRPr="0001274E">
              <w:rPr>
                <w:rFonts w:asciiTheme="majorEastAsia" w:eastAsiaTheme="majorEastAsia" w:hAnsiTheme="majorEastAsia" w:hint="eastAsia"/>
                <w:sz w:val="24"/>
                <w:szCs w:val="24"/>
              </w:rPr>
              <w:t>从账龄</w:t>
            </w:r>
            <w:proofErr w:type="gramEnd"/>
            <w:r w:rsidRPr="0001274E">
              <w:rPr>
                <w:rFonts w:asciiTheme="majorEastAsia" w:eastAsiaTheme="majorEastAsia" w:hAnsiTheme="majorEastAsia" w:hint="eastAsia"/>
                <w:sz w:val="24"/>
                <w:szCs w:val="24"/>
              </w:rPr>
              <w:t>来看，公司应收账款主要集中在一年以内。</w:t>
            </w:r>
          </w:p>
          <w:p w14:paraId="7539E3E6" w14:textId="77777777" w:rsidR="007B1FE2" w:rsidRDefault="007B1FE2" w:rsidP="00A5666B">
            <w:pPr>
              <w:pStyle w:val="Style6"/>
              <w:spacing w:line="460" w:lineRule="exact"/>
              <w:ind w:firstLine="480"/>
              <w:rPr>
                <w:rFonts w:asciiTheme="majorEastAsia" w:eastAsiaTheme="majorEastAsia" w:hAnsiTheme="majorEastAsia" w:hint="eastAsia"/>
                <w:sz w:val="24"/>
                <w:szCs w:val="24"/>
              </w:rPr>
            </w:pPr>
          </w:p>
          <w:p w14:paraId="2A8CA0B1" w14:textId="2E748EC7" w:rsidR="007B1FE2" w:rsidRPr="00B766EC" w:rsidRDefault="00B766EC" w:rsidP="00A5666B">
            <w:pPr>
              <w:pStyle w:val="Style6"/>
              <w:spacing w:line="460" w:lineRule="exact"/>
              <w:ind w:firstLine="482"/>
              <w:rPr>
                <w:rFonts w:asciiTheme="majorEastAsia" w:eastAsiaTheme="majorEastAsia" w:hAnsiTheme="majorEastAsia" w:hint="eastAsia"/>
                <w:b/>
                <w:bCs/>
                <w:sz w:val="24"/>
                <w:szCs w:val="24"/>
              </w:rPr>
            </w:pPr>
            <w:r w:rsidRPr="00B766EC">
              <w:rPr>
                <w:rFonts w:asciiTheme="majorEastAsia" w:eastAsiaTheme="majorEastAsia" w:hAnsiTheme="majorEastAsia" w:hint="eastAsia"/>
                <w:b/>
                <w:bCs/>
                <w:sz w:val="24"/>
                <w:szCs w:val="24"/>
              </w:rPr>
              <w:t>3、公司今年业绩也会有大幅增长吗？</w:t>
            </w:r>
          </w:p>
          <w:p w14:paraId="443DC903" w14:textId="647D059A" w:rsidR="00B766EC" w:rsidRDefault="00B766EC" w:rsidP="00B766EC">
            <w:pPr>
              <w:pStyle w:val="Style6"/>
              <w:spacing w:line="460" w:lineRule="exact"/>
              <w:ind w:firstLine="480"/>
              <w:rPr>
                <w:rFonts w:asciiTheme="majorEastAsia" w:eastAsiaTheme="majorEastAsia" w:hAnsiTheme="majorEastAsia" w:hint="eastAsia"/>
                <w:sz w:val="24"/>
                <w:szCs w:val="24"/>
              </w:rPr>
            </w:pPr>
            <w:r w:rsidRPr="00B766EC">
              <w:rPr>
                <w:rFonts w:asciiTheme="majorEastAsia" w:eastAsiaTheme="majorEastAsia" w:hAnsiTheme="majorEastAsia" w:hint="eastAsia"/>
                <w:sz w:val="24"/>
                <w:szCs w:val="24"/>
              </w:rPr>
              <w:t>答：关于公司营收情况，请关注公司后续披露的定期报告。</w:t>
            </w:r>
          </w:p>
          <w:p w14:paraId="34CF8E93" w14:textId="77777777" w:rsidR="00853E4E" w:rsidRDefault="00853E4E" w:rsidP="00E753CC">
            <w:pPr>
              <w:pStyle w:val="Style6"/>
              <w:spacing w:line="460" w:lineRule="exact"/>
              <w:ind w:firstLine="482"/>
              <w:rPr>
                <w:rFonts w:asciiTheme="majorEastAsia" w:eastAsiaTheme="majorEastAsia" w:hAnsiTheme="majorEastAsia" w:hint="eastAsia"/>
                <w:b/>
                <w:bCs/>
                <w:sz w:val="24"/>
                <w:szCs w:val="24"/>
              </w:rPr>
            </w:pPr>
          </w:p>
          <w:p w14:paraId="493E0264" w14:textId="4BF116B8" w:rsidR="00E8334E" w:rsidRDefault="00986B0F" w:rsidP="00E753CC">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4、公司出于什么想法跨行业投资金泰克？</w:t>
            </w:r>
          </w:p>
          <w:p w14:paraId="67A0B44F" w14:textId="4B343FA8" w:rsidR="00986B0F" w:rsidRPr="00986B0F" w:rsidRDefault="00986B0F" w:rsidP="00E753CC">
            <w:pPr>
              <w:pStyle w:val="Style6"/>
              <w:spacing w:line="460" w:lineRule="exact"/>
              <w:ind w:firstLine="480"/>
              <w:rPr>
                <w:rFonts w:asciiTheme="majorEastAsia" w:eastAsiaTheme="majorEastAsia" w:hAnsiTheme="majorEastAsia" w:hint="eastAsia"/>
                <w:sz w:val="24"/>
                <w:szCs w:val="24"/>
              </w:rPr>
            </w:pPr>
            <w:r w:rsidRPr="00986B0F">
              <w:rPr>
                <w:rFonts w:asciiTheme="majorEastAsia" w:eastAsiaTheme="majorEastAsia" w:hAnsiTheme="majorEastAsia" w:hint="eastAsia"/>
                <w:sz w:val="24"/>
                <w:szCs w:val="24"/>
              </w:rPr>
              <w:lastRenderedPageBreak/>
              <w:t>答：公司投资金泰克，主要是认可其所处的行业前景，随着数据中心和</w:t>
            </w:r>
            <w:proofErr w:type="gramStart"/>
            <w:r w:rsidRPr="00986B0F">
              <w:rPr>
                <w:rFonts w:asciiTheme="majorEastAsia" w:eastAsiaTheme="majorEastAsia" w:hAnsiTheme="majorEastAsia" w:hint="eastAsia"/>
                <w:sz w:val="24"/>
                <w:szCs w:val="24"/>
              </w:rPr>
              <w:t>算力中心</w:t>
            </w:r>
            <w:proofErr w:type="gramEnd"/>
            <w:r w:rsidRPr="00986B0F">
              <w:rPr>
                <w:rFonts w:asciiTheme="majorEastAsia" w:eastAsiaTheme="majorEastAsia" w:hAnsiTheme="majorEastAsia" w:hint="eastAsia"/>
                <w:sz w:val="24"/>
                <w:szCs w:val="24"/>
              </w:rPr>
              <w:t>建设的加速，对于存储容量和处理能力的需求也随之增加，存储</w:t>
            </w:r>
            <w:proofErr w:type="gramStart"/>
            <w:r w:rsidRPr="00986B0F">
              <w:rPr>
                <w:rFonts w:asciiTheme="majorEastAsia" w:eastAsiaTheme="majorEastAsia" w:hAnsiTheme="majorEastAsia" w:hint="eastAsia"/>
                <w:sz w:val="24"/>
                <w:szCs w:val="24"/>
              </w:rPr>
              <w:t>作为算力的</w:t>
            </w:r>
            <w:proofErr w:type="gramEnd"/>
            <w:r w:rsidRPr="00986B0F">
              <w:rPr>
                <w:rFonts w:asciiTheme="majorEastAsia" w:eastAsiaTheme="majorEastAsia" w:hAnsiTheme="majorEastAsia" w:hint="eastAsia"/>
                <w:sz w:val="24"/>
                <w:szCs w:val="24"/>
              </w:rPr>
              <w:t>重要硬件之一具有较好的市场前景。</w:t>
            </w:r>
          </w:p>
          <w:p w14:paraId="70F9425D" w14:textId="77777777" w:rsidR="00986B0F" w:rsidRDefault="00986B0F" w:rsidP="00E753CC">
            <w:pPr>
              <w:pStyle w:val="Style6"/>
              <w:spacing w:line="460" w:lineRule="exact"/>
              <w:ind w:firstLine="482"/>
              <w:rPr>
                <w:rFonts w:asciiTheme="majorEastAsia" w:eastAsiaTheme="majorEastAsia" w:hAnsiTheme="majorEastAsia" w:hint="eastAsia"/>
                <w:b/>
                <w:bCs/>
                <w:sz w:val="24"/>
                <w:szCs w:val="24"/>
              </w:rPr>
            </w:pPr>
          </w:p>
          <w:p w14:paraId="0452D359" w14:textId="77777777" w:rsidR="00DD7192" w:rsidRDefault="00DD7192" w:rsidP="00DD7192">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5、未来公司在半导体方面还会有布局吗？</w:t>
            </w:r>
          </w:p>
          <w:p w14:paraId="17BD2360" w14:textId="7882BCCB" w:rsidR="00E8334E" w:rsidRDefault="00DD7192" w:rsidP="00DD7192">
            <w:pPr>
              <w:pStyle w:val="Style6"/>
              <w:spacing w:line="460" w:lineRule="exact"/>
              <w:ind w:firstLine="480"/>
              <w:rPr>
                <w:rFonts w:asciiTheme="majorEastAsia" w:eastAsiaTheme="majorEastAsia" w:hAnsiTheme="majorEastAsia" w:hint="eastAsia"/>
                <w:b/>
                <w:bCs/>
                <w:sz w:val="24"/>
                <w:szCs w:val="24"/>
              </w:rPr>
            </w:pPr>
            <w:r w:rsidRPr="00167A14">
              <w:rPr>
                <w:rFonts w:asciiTheme="majorEastAsia" w:eastAsiaTheme="majorEastAsia" w:hAnsiTheme="majorEastAsia" w:hint="eastAsia"/>
                <w:sz w:val="24"/>
                <w:szCs w:val="24"/>
              </w:rPr>
              <w:t>答：在推动公司主营业务发展的同时，公司董事会和管理层一直在探索尝试利用资本市场和上市公司平台进行新的业务布局，推动上市公司高质量发展，为上市公司带来新的增长点。但相关事项存在不确定性，请投资者注意风险。</w:t>
            </w:r>
          </w:p>
          <w:p w14:paraId="5F68E22C" w14:textId="1A513FE7" w:rsidR="002449AD" w:rsidRPr="00C708AD" w:rsidRDefault="002449AD" w:rsidP="00DD7192">
            <w:pPr>
              <w:pStyle w:val="Style6"/>
              <w:spacing w:line="460" w:lineRule="exact"/>
              <w:ind w:firstLineChars="0" w:firstLine="0"/>
              <w:rPr>
                <w:rFonts w:asciiTheme="majorEastAsia" w:eastAsiaTheme="majorEastAsia" w:hAnsiTheme="majorEastAsia" w:hint="eastAsia"/>
                <w:b/>
                <w:bCs/>
                <w:sz w:val="24"/>
                <w:szCs w:val="24"/>
              </w:rPr>
            </w:pP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hint="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21738044"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20754F">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3773CA">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w:t>
            </w:r>
            <w:r w:rsidR="00DD7192">
              <w:rPr>
                <w:rFonts w:asciiTheme="majorEastAsia" w:eastAsiaTheme="majorEastAsia" w:hAnsiTheme="majorEastAsia" w:hint="eastAsia"/>
                <w:bCs/>
                <w:iCs/>
                <w:color w:val="000000"/>
                <w:sz w:val="24"/>
              </w:rPr>
              <w:t>26</w:t>
            </w:r>
          </w:p>
        </w:tc>
      </w:tr>
    </w:tbl>
    <w:p w14:paraId="4EC27DFF" w14:textId="77777777" w:rsidR="000D6680" w:rsidRPr="002449AD" w:rsidRDefault="000D6680" w:rsidP="002449AD">
      <w:pPr>
        <w:rPr>
          <w:sz w:val="2"/>
        </w:rPr>
      </w:pPr>
    </w:p>
    <w:sectPr w:rsidR="000D6680" w:rsidRPr="002449AD" w:rsidSect="002449AD">
      <w:pgSz w:w="11906" w:h="16838"/>
      <w:pgMar w:top="709"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3E9F" w14:textId="77777777" w:rsidR="00B9663F" w:rsidRDefault="00B9663F">
      <w:r>
        <w:separator/>
      </w:r>
    </w:p>
  </w:endnote>
  <w:endnote w:type="continuationSeparator" w:id="0">
    <w:p w14:paraId="35742B45" w14:textId="77777777" w:rsidR="00B9663F" w:rsidRDefault="00B9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0028" w14:textId="77777777" w:rsidR="00B9663F" w:rsidRDefault="00B9663F">
      <w:r>
        <w:separator/>
      </w:r>
    </w:p>
  </w:footnote>
  <w:footnote w:type="continuationSeparator" w:id="0">
    <w:p w14:paraId="7813E589" w14:textId="77777777" w:rsidR="00B9663F" w:rsidRDefault="00B96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00000A7E"/>
    <w:rsid w:val="0001274E"/>
    <w:rsid w:val="000136F1"/>
    <w:rsid w:val="00017E9B"/>
    <w:rsid w:val="000268C0"/>
    <w:rsid w:val="0003624D"/>
    <w:rsid w:val="000363B5"/>
    <w:rsid w:val="000375D7"/>
    <w:rsid w:val="0003787A"/>
    <w:rsid w:val="00043015"/>
    <w:rsid w:val="0004459B"/>
    <w:rsid w:val="00046DDE"/>
    <w:rsid w:val="00047EB9"/>
    <w:rsid w:val="00060A74"/>
    <w:rsid w:val="000655C0"/>
    <w:rsid w:val="00067110"/>
    <w:rsid w:val="000750DF"/>
    <w:rsid w:val="00086014"/>
    <w:rsid w:val="00086B68"/>
    <w:rsid w:val="0009298A"/>
    <w:rsid w:val="000A0F7F"/>
    <w:rsid w:val="000A2808"/>
    <w:rsid w:val="000A3BAC"/>
    <w:rsid w:val="000C26FD"/>
    <w:rsid w:val="000C2D85"/>
    <w:rsid w:val="000D3323"/>
    <w:rsid w:val="000D6680"/>
    <w:rsid w:val="000E5700"/>
    <w:rsid w:val="000F0C4B"/>
    <w:rsid w:val="000F0E22"/>
    <w:rsid w:val="00104AAD"/>
    <w:rsid w:val="00105A04"/>
    <w:rsid w:val="001169A9"/>
    <w:rsid w:val="00125EB2"/>
    <w:rsid w:val="00130241"/>
    <w:rsid w:val="00142A4C"/>
    <w:rsid w:val="00144279"/>
    <w:rsid w:val="001452FF"/>
    <w:rsid w:val="00161000"/>
    <w:rsid w:val="0016617A"/>
    <w:rsid w:val="00167A14"/>
    <w:rsid w:val="00167E99"/>
    <w:rsid w:val="00175BF1"/>
    <w:rsid w:val="001824EA"/>
    <w:rsid w:val="0018334E"/>
    <w:rsid w:val="0019140B"/>
    <w:rsid w:val="0019643C"/>
    <w:rsid w:val="001975AB"/>
    <w:rsid w:val="001A00F5"/>
    <w:rsid w:val="001A1F65"/>
    <w:rsid w:val="001A5CE9"/>
    <w:rsid w:val="001C50AD"/>
    <w:rsid w:val="001C52B0"/>
    <w:rsid w:val="001C69DC"/>
    <w:rsid w:val="001D22EE"/>
    <w:rsid w:val="001D4C89"/>
    <w:rsid w:val="001D7635"/>
    <w:rsid w:val="001E1838"/>
    <w:rsid w:val="001E3145"/>
    <w:rsid w:val="001E57BD"/>
    <w:rsid w:val="001E6509"/>
    <w:rsid w:val="001E770C"/>
    <w:rsid w:val="001E7968"/>
    <w:rsid w:val="00200DDE"/>
    <w:rsid w:val="002017F9"/>
    <w:rsid w:val="0020754F"/>
    <w:rsid w:val="0022180A"/>
    <w:rsid w:val="00223ABC"/>
    <w:rsid w:val="002241B9"/>
    <w:rsid w:val="002274D9"/>
    <w:rsid w:val="002304E5"/>
    <w:rsid w:val="0023455A"/>
    <w:rsid w:val="00237994"/>
    <w:rsid w:val="002449AD"/>
    <w:rsid w:val="00251D58"/>
    <w:rsid w:val="002530EE"/>
    <w:rsid w:val="002549E6"/>
    <w:rsid w:val="00256602"/>
    <w:rsid w:val="00271C8D"/>
    <w:rsid w:val="00273B53"/>
    <w:rsid w:val="00277BDD"/>
    <w:rsid w:val="002804C3"/>
    <w:rsid w:val="0028080C"/>
    <w:rsid w:val="00292629"/>
    <w:rsid w:val="00293179"/>
    <w:rsid w:val="00295257"/>
    <w:rsid w:val="002953F0"/>
    <w:rsid w:val="00297154"/>
    <w:rsid w:val="00297703"/>
    <w:rsid w:val="002A0826"/>
    <w:rsid w:val="002A0984"/>
    <w:rsid w:val="002A1825"/>
    <w:rsid w:val="002A589B"/>
    <w:rsid w:val="002B1184"/>
    <w:rsid w:val="002B6036"/>
    <w:rsid w:val="002B71B8"/>
    <w:rsid w:val="002B7469"/>
    <w:rsid w:val="002C22C6"/>
    <w:rsid w:val="002C5B06"/>
    <w:rsid w:val="002C6568"/>
    <w:rsid w:val="002C723B"/>
    <w:rsid w:val="002D24FC"/>
    <w:rsid w:val="002D39BC"/>
    <w:rsid w:val="002E1B15"/>
    <w:rsid w:val="002E1D3A"/>
    <w:rsid w:val="003005F0"/>
    <w:rsid w:val="003030BF"/>
    <w:rsid w:val="00304F89"/>
    <w:rsid w:val="00306023"/>
    <w:rsid w:val="00324732"/>
    <w:rsid w:val="00325D3D"/>
    <w:rsid w:val="00327D5D"/>
    <w:rsid w:val="00337F00"/>
    <w:rsid w:val="00342AE8"/>
    <w:rsid w:val="00344914"/>
    <w:rsid w:val="00346917"/>
    <w:rsid w:val="00352887"/>
    <w:rsid w:val="00354A7B"/>
    <w:rsid w:val="00360FDA"/>
    <w:rsid w:val="00363075"/>
    <w:rsid w:val="00367D18"/>
    <w:rsid w:val="00372A1C"/>
    <w:rsid w:val="0037435A"/>
    <w:rsid w:val="003773CA"/>
    <w:rsid w:val="00377CC9"/>
    <w:rsid w:val="00377D8F"/>
    <w:rsid w:val="00383679"/>
    <w:rsid w:val="003A1E68"/>
    <w:rsid w:val="003B0122"/>
    <w:rsid w:val="003B0BE5"/>
    <w:rsid w:val="003B6C98"/>
    <w:rsid w:val="003D0250"/>
    <w:rsid w:val="003D18F1"/>
    <w:rsid w:val="003D5288"/>
    <w:rsid w:val="003E001E"/>
    <w:rsid w:val="003E43C1"/>
    <w:rsid w:val="003F3A16"/>
    <w:rsid w:val="003F7C4D"/>
    <w:rsid w:val="0040075F"/>
    <w:rsid w:val="00403300"/>
    <w:rsid w:val="004118C0"/>
    <w:rsid w:val="00417A31"/>
    <w:rsid w:val="0042004B"/>
    <w:rsid w:val="00433384"/>
    <w:rsid w:val="004352E9"/>
    <w:rsid w:val="0043777D"/>
    <w:rsid w:val="0045767F"/>
    <w:rsid w:val="0046266B"/>
    <w:rsid w:val="00462F41"/>
    <w:rsid w:val="00463E9B"/>
    <w:rsid w:val="00464564"/>
    <w:rsid w:val="00467414"/>
    <w:rsid w:val="00473F30"/>
    <w:rsid w:val="0048591A"/>
    <w:rsid w:val="00485B78"/>
    <w:rsid w:val="00486D86"/>
    <w:rsid w:val="0048721A"/>
    <w:rsid w:val="00494C38"/>
    <w:rsid w:val="00497E56"/>
    <w:rsid w:val="004A0BD5"/>
    <w:rsid w:val="004A1BBF"/>
    <w:rsid w:val="004A73E5"/>
    <w:rsid w:val="004C19BF"/>
    <w:rsid w:val="004D284A"/>
    <w:rsid w:val="004D7640"/>
    <w:rsid w:val="004E1A9B"/>
    <w:rsid w:val="004F4433"/>
    <w:rsid w:val="00500AB6"/>
    <w:rsid w:val="00506128"/>
    <w:rsid w:val="005155FB"/>
    <w:rsid w:val="00517004"/>
    <w:rsid w:val="00521CF8"/>
    <w:rsid w:val="00523907"/>
    <w:rsid w:val="00525FD9"/>
    <w:rsid w:val="00533E29"/>
    <w:rsid w:val="00535A80"/>
    <w:rsid w:val="00535B37"/>
    <w:rsid w:val="00537C53"/>
    <w:rsid w:val="005430D0"/>
    <w:rsid w:val="005438F5"/>
    <w:rsid w:val="00544901"/>
    <w:rsid w:val="00546231"/>
    <w:rsid w:val="005474D3"/>
    <w:rsid w:val="00550737"/>
    <w:rsid w:val="005531FB"/>
    <w:rsid w:val="00555DD2"/>
    <w:rsid w:val="00565024"/>
    <w:rsid w:val="00565ED9"/>
    <w:rsid w:val="00566712"/>
    <w:rsid w:val="0056730F"/>
    <w:rsid w:val="005760C6"/>
    <w:rsid w:val="00581915"/>
    <w:rsid w:val="00584D43"/>
    <w:rsid w:val="00585A1B"/>
    <w:rsid w:val="00591260"/>
    <w:rsid w:val="00591314"/>
    <w:rsid w:val="00593D40"/>
    <w:rsid w:val="00595F1B"/>
    <w:rsid w:val="005A3BE0"/>
    <w:rsid w:val="005B1026"/>
    <w:rsid w:val="005B49EA"/>
    <w:rsid w:val="005B642F"/>
    <w:rsid w:val="005C004B"/>
    <w:rsid w:val="005C04C1"/>
    <w:rsid w:val="005C155F"/>
    <w:rsid w:val="005C1785"/>
    <w:rsid w:val="005D2D87"/>
    <w:rsid w:val="005D6A09"/>
    <w:rsid w:val="005E2B4B"/>
    <w:rsid w:val="005E5F63"/>
    <w:rsid w:val="005E6BA1"/>
    <w:rsid w:val="005F0F38"/>
    <w:rsid w:val="005F36DA"/>
    <w:rsid w:val="0060779A"/>
    <w:rsid w:val="00621853"/>
    <w:rsid w:val="00622F13"/>
    <w:rsid w:val="00625503"/>
    <w:rsid w:val="0062621C"/>
    <w:rsid w:val="0062662D"/>
    <w:rsid w:val="00627459"/>
    <w:rsid w:val="0062778A"/>
    <w:rsid w:val="00632E78"/>
    <w:rsid w:val="006344F1"/>
    <w:rsid w:val="00636026"/>
    <w:rsid w:val="00637186"/>
    <w:rsid w:val="00644284"/>
    <w:rsid w:val="00646DF4"/>
    <w:rsid w:val="00651CAD"/>
    <w:rsid w:val="00651DE6"/>
    <w:rsid w:val="006523BB"/>
    <w:rsid w:val="0065347E"/>
    <w:rsid w:val="0065422A"/>
    <w:rsid w:val="00654B49"/>
    <w:rsid w:val="00662505"/>
    <w:rsid w:val="006644E9"/>
    <w:rsid w:val="0066674C"/>
    <w:rsid w:val="00671651"/>
    <w:rsid w:val="006760F7"/>
    <w:rsid w:val="00684FD4"/>
    <w:rsid w:val="00685306"/>
    <w:rsid w:val="006861C7"/>
    <w:rsid w:val="00686DDF"/>
    <w:rsid w:val="00695D3C"/>
    <w:rsid w:val="00697B12"/>
    <w:rsid w:val="006A4571"/>
    <w:rsid w:val="006A55BB"/>
    <w:rsid w:val="006A6357"/>
    <w:rsid w:val="006A69E6"/>
    <w:rsid w:val="006A7613"/>
    <w:rsid w:val="006B3178"/>
    <w:rsid w:val="006B661A"/>
    <w:rsid w:val="006B6886"/>
    <w:rsid w:val="006B6DD2"/>
    <w:rsid w:val="006B7D00"/>
    <w:rsid w:val="006C6BC5"/>
    <w:rsid w:val="006D61A2"/>
    <w:rsid w:val="006E1DB4"/>
    <w:rsid w:val="006E2A7B"/>
    <w:rsid w:val="006E56DA"/>
    <w:rsid w:val="006E70D0"/>
    <w:rsid w:val="007056FA"/>
    <w:rsid w:val="00724147"/>
    <w:rsid w:val="00730F29"/>
    <w:rsid w:val="00747AD9"/>
    <w:rsid w:val="00753DB6"/>
    <w:rsid w:val="00763847"/>
    <w:rsid w:val="00771FE3"/>
    <w:rsid w:val="007744DF"/>
    <w:rsid w:val="00776BDE"/>
    <w:rsid w:val="00786870"/>
    <w:rsid w:val="00786ED5"/>
    <w:rsid w:val="00792237"/>
    <w:rsid w:val="0079272A"/>
    <w:rsid w:val="007A1DA9"/>
    <w:rsid w:val="007B1FE2"/>
    <w:rsid w:val="007B2252"/>
    <w:rsid w:val="007B6270"/>
    <w:rsid w:val="007B79D9"/>
    <w:rsid w:val="007C2911"/>
    <w:rsid w:val="007C2BF4"/>
    <w:rsid w:val="007C67B1"/>
    <w:rsid w:val="007E354A"/>
    <w:rsid w:val="007E425E"/>
    <w:rsid w:val="007E69C8"/>
    <w:rsid w:val="007F17C4"/>
    <w:rsid w:val="007F4AE3"/>
    <w:rsid w:val="007F6081"/>
    <w:rsid w:val="0080525B"/>
    <w:rsid w:val="008062C5"/>
    <w:rsid w:val="0080741A"/>
    <w:rsid w:val="00814B5B"/>
    <w:rsid w:val="008263D7"/>
    <w:rsid w:val="0083670A"/>
    <w:rsid w:val="00836F34"/>
    <w:rsid w:val="008375D5"/>
    <w:rsid w:val="0084162C"/>
    <w:rsid w:val="0084379D"/>
    <w:rsid w:val="00843E73"/>
    <w:rsid w:val="00844EBF"/>
    <w:rsid w:val="00853E4E"/>
    <w:rsid w:val="00854F61"/>
    <w:rsid w:val="00864202"/>
    <w:rsid w:val="00873B59"/>
    <w:rsid w:val="0087701F"/>
    <w:rsid w:val="008812E6"/>
    <w:rsid w:val="0089283D"/>
    <w:rsid w:val="00895C1A"/>
    <w:rsid w:val="008A0ADC"/>
    <w:rsid w:val="008A1BAB"/>
    <w:rsid w:val="008B06C3"/>
    <w:rsid w:val="008B38B7"/>
    <w:rsid w:val="008B458E"/>
    <w:rsid w:val="008B698E"/>
    <w:rsid w:val="008C4D4A"/>
    <w:rsid w:val="008C562C"/>
    <w:rsid w:val="008D1CD0"/>
    <w:rsid w:val="008E11AE"/>
    <w:rsid w:val="008E1708"/>
    <w:rsid w:val="008E4844"/>
    <w:rsid w:val="008F28A1"/>
    <w:rsid w:val="008F76EC"/>
    <w:rsid w:val="008F7C01"/>
    <w:rsid w:val="00904492"/>
    <w:rsid w:val="00904DFB"/>
    <w:rsid w:val="0091457B"/>
    <w:rsid w:val="00920F7E"/>
    <w:rsid w:val="00923763"/>
    <w:rsid w:val="00930ED6"/>
    <w:rsid w:val="0093293F"/>
    <w:rsid w:val="00933105"/>
    <w:rsid w:val="00936D44"/>
    <w:rsid w:val="00943D25"/>
    <w:rsid w:val="009474EF"/>
    <w:rsid w:val="009613CA"/>
    <w:rsid w:val="00962626"/>
    <w:rsid w:val="009767DD"/>
    <w:rsid w:val="00977AF2"/>
    <w:rsid w:val="00985398"/>
    <w:rsid w:val="00985FC5"/>
    <w:rsid w:val="00986B0F"/>
    <w:rsid w:val="00993BDD"/>
    <w:rsid w:val="009A22DA"/>
    <w:rsid w:val="009A3CDA"/>
    <w:rsid w:val="009A628B"/>
    <w:rsid w:val="009A6DFB"/>
    <w:rsid w:val="009B063F"/>
    <w:rsid w:val="009B3C1A"/>
    <w:rsid w:val="009B6EC0"/>
    <w:rsid w:val="009C7FAF"/>
    <w:rsid w:val="009D4199"/>
    <w:rsid w:val="009E5E6A"/>
    <w:rsid w:val="009E764C"/>
    <w:rsid w:val="009F046A"/>
    <w:rsid w:val="009F0DD5"/>
    <w:rsid w:val="009F1B95"/>
    <w:rsid w:val="009F6C05"/>
    <w:rsid w:val="00A071F3"/>
    <w:rsid w:val="00A1190E"/>
    <w:rsid w:val="00A13CB6"/>
    <w:rsid w:val="00A14A1A"/>
    <w:rsid w:val="00A14FF9"/>
    <w:rsid w:val="00A21C6A"/>
    <w:rsid w:val="00A22CDD"/>
    <w:rsid w:val="00A25AEE"/>
    <w:rsid w:val="00A265BB"/>
    <w:rsid w:val="00A31EB1"/>
    <w:rsid w:val="00A33AEA"/>
    <w:rsid w:val="00A33B45"/>
    <w:rsid w:val="00A37D47"/>
    <w:rsid w:val="00A4352D"/>
    <w:rsid w:val="00A461CD"/>
    <w:rsid w:val="00A469C5"/>
    <w:rsid w:val="00A5317D"/>
    <w:rsid w:val="00A54596"/>
    <w:rsid w:val="00A5666B"/>
    <w:rsid w:val="00A6284E"/>
    <w:rsid w:val="00A63E81"/>
    <w:rsid w:val="00A66CC8"/>
    <w:rsid w:val="00A76145"/>
    <w:rsid w:val="00A8775A"/>
    <w:rsid w:val="00AA32E9"/>
    <w:rsid w:val="00AA5998"/>
    <w:rsid w:val="00AB07E7"/>
    <w:rsid w:val="00AD1BA8"/>
    <w:rsid w:val="00AE0290"/>
    <w:rsid w:val="00AE13B7"/>
    <w:rsid w:val="00AF0719"/>
    <w:rsid w:val="00B02A29"/>
    <w:rsid w:val="00B03522"/>
    <w:rsid w:val="00B04AD6"/>
    <w:rsid w:val="00B14CAA"/>
    <w:rsid w:val="00B14EC6"/>
    <w:rsid w:val="00B16B67"/>
    <w:rsid w:val="00B257CE"/>
    <w:rsid w:val="00B31422"/>
    <w:rsid w:val="00B3289E"/>
    <w:rsid w:val="00B372D6"/>
    <w:rsid w:val="00B42500"/>
    <w:rsid w:val="00B4746C"/>
    <w:rsid w:val="00B65354"/>
    <w:rsid w:val="00B71A0E"/>
    <w:rsid w:val="00B766EC"/>
    <w:rsid w:val="00B81765"/>
    <w:rsid w:val="00B832F5"/>
    <w:rsid w:val="00B9663F"/>
    <w:rsid w:val="00BA2FAB"/>
    <w:rsid w:val="00BA3571"/>
    <w:rsid w:val="00BB5E28"/>
    <w:rsid w:val="00BC5A63"/>
    <w:rsid w:val="00BD15F3"/>
    <w:rsid w:val="00BD5FEF"/>
    <w:rsid w:val="00BD747E"/>
    <w:rsid w:val="00BD7986"/>
    <w:rsid w:val="00BD79D3"/>
    <w:rsid w:val="00BF3C09"/>
    <w:rsid w:val="00BF48E1"/>
    <w:rsid w:val="00C04F82"/>
    <w:rsid w:val="00C15AC0"/>
    <w:rsid w:val="00C26030"/>
    <w:rsid w:val="00C41091"/>
    <w:rsid w:val="00C513BE"/>
    <w:rsid w:val="00C63056"/>
    <w:rsid w:val="00C64101"/>
    <w:rsid w:val="00C661D1"/>
    <w:rsid w:val="00C66F18"/>
    <w:rsid w:val="00C708AD"/>
    <w:rsid w:val="00C775BA"/>
    <w:rsid w:val="00C83791"/>
    <w:rsid w:val="00C85331"/>
    <w:rsid w:val="00C85A50"/>
    <w:rsid w:val="00C94D46"/>
    <w:rsid w:val="00C97181"/>
    <w:rsid w:val="00CA443A"/>
    <w:rsid w:val="00CB22F6"/>
    <w:rsid w:val="00CB2461"/>
    <w:rsid w:val="00CB37FD"/>
    <w:rsid w:val="00CB667A"/>
    <w:rsid w:val="00CC4D65"/>
    <w:rsid w:val="00CC61E7"/>
    <w:rsid w:val="00CC6F55"/>
    <w:rsid w:val="00CD25AD"/>
    <w:rsid w:val="00CD3502"/>
    <w:rsid w:val="00CD3FFC"/>
    <w:rsid w:val="00CE3C7A"/>
    <w:rsid w:val="00CF565C"/>
    <w:rsid w:val="00D016A3"/>
    <w:rsid w:val="00D02571"/>
    <w:rsid w:val="00D02C49"/>
    <w:rsid w:val="00D07B52"/>
    <w:rsid w:val="00D20B59"/>
    <w:rsid w:val="00D22319"/>
    <w:rsid w:val="00D30E59"/>
    <w:rsid w:val="00D35086"/>
    <w:rsid w:val="00D512E3"/>
    <w:rsid w:val="00D52D1A"/>
    <w:rsid w:val="00D602C9"/>
    <w:rsid w:val="00D6762A"/>
    <w:rsid w:val="00DA1697"/>
    <w:rsid w:val="00DA26A9"/>
    <w:rsid w:val="00DB01FF"/>
    <w:rsid w:val="00DC7778"/>
    <w:rsid w:val="00DD7192"/>
    <w:rsid w:val="00DE3283"/>
    <w:rsid w:val="00DE7391"/>
    <w:rsid w:val="00DF2DB5"/>
    <w:rsid w:val="00DF6560"/>
    <w:rsid w:val="00DF6B0E"/>
    <w:rsid w:val="00E04CC0"/>
    <w:rsid w:val="00E0680A"/>
    <w:rsid w:val="00E11BC1"/>
    <w:rsid w:val="00E136FF"/>
    <w:rsid w:val="00E265AD"/>
    <w:rsid w:val="00E32528"/>
    <w:rsid w:val="00E35F26"/>
    <w:rsid w:val="00E53165"/>
    <w:rsid w:val="00E61EF7"/>
    <w:rsid w:val="00E663B4"/>
    <w:rsid w:val="00E663C1"/>
    <w:rsid w:val="00E753CC"/>
    <w:rsid w:val="00E80CEB"/>
    <w:rsid w:val="00E8334E"/>
    <w:rsid w:val="00E94A1E"/>
    <w:rsid w:val="00EA0CCF"/>
    <w:rsid w:val="00EA2008"/>
    <w:rsid w:val="00EA5103"/>
    <w:rsid w:val="00EA6FB9"/>
    <w:rsid w:val="00EB5E6A"/>
    <w:rsid w:val="00EC2AD7"/>
    <w:rsid w:val="00ED6B02"/>
    <w:rsid w:val="00ED7DE0"/>
    <w:rsid w:val="00EE7891"/>
    <w:rsid w:val="00EF0F56"/>
    <w:rsid w:val="00EF11A4"/>
    <w:rsid w:val="00EF49FE"/>
    <w:rsid w:val="00EF5341"/>
    <w:rsid w:val="00F04908"/>
    <w:rsid w:val="00F07C21"/>
    <w:rsid w:val="00F104F0"/>
    <w:rsid w:val="00F12EF6"/>
    <w:rsid w:val="00F21065"/>
    <w:rsid w:val="00F24CB4"/>
    <w:rsid w:val="00F2737F"/>
    <w:rsid w:val="00F327C3"/>
    <w:rsid w:val="00F36BBE"/>
    <w:rsid w:val="00F43465"/>
    <w:rsid w:val="00F44573"/>
    <w:rsid w:val="00F45475"/>
    <w:rsid w:val="00F613CB"/>
    <w:rsid w:val="00F64E72"/>
    <w:rsid w:val="00F70C7D"/>
    <w:rsid w:val="00F9272E"/>
    <w:rsid w:val="00F97743"/>
    <w:rsid w:val="00FA6DAF"/>
    <w:rsid w:val="00FC6884"/>
    <w:rsid w:val="00FD17F4"/>
    <w:rsid w:val="00FE4726"/>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104AAD"/>
    <w:rPr>
      <w:sz w:val="21"/>
      <w:szCs w:val="21"/>
    </w:rPr>
  </w:style>
  <w:style w:type="paragraph" w:styleId="a8">
    <w:name w:val="annotation text"/>
    <w:basedOn w:val="a"/>
    <w:link w:val="a9"/>
    <w:rsid w:val="00104AAD"/>
    <w:pPr>
      <w:jc w:val="left"/>
    </w:pPr>
  </w:style>
  <w:style w:type="character" w:customStyle="1" w:styleId="a9">
    <w:name w:val="批注文字 字符"/>
    <w:basedOn w:val="a0"/>
    <w:link w:val="a8"/>
    <w:rsid w:val="00104AAD"/>
    <w:rPr>
      <w:kern w:val="2"/>
      <w:sz w:val="21"/>
      <w:szCs w:val="24"/>
    </w:rPr>
  </w:style>
  <w:style w:type="paragraph" w:styleId="aa">
    <w:name w:val="annotation subject"/>
    <w:basedOn w:val="a8"/>
    <w:next w:val="a8"/>
    <w:link w:val="ab"/>
    <w:rsid w:val="00104AAD"/>
    <w:rPr>
      <w:b/>
      <w:bCs/>
    </w:rPr>
  </w:style>
  <w:style w:type="character" w:customStyle="1" w:styleId="ab">
    <w:name w:val="批注主题 字符"/>
    <w:basedOn w:val="a9"/>
    <w:link w:val="aa"/>
    <w:rsid w:val="00104AAD"/>
    <w:rPr>
      <w:b/>
      <w:bCs/>
      <w:kern w:val="2"/>
      <w:sz w:val="21"/>
      <w:szCs w:val="24"/>
    </w:rPr>
  </w:style>
  <w:style w:type="paragraph" w:styleId="ac">
    <w:name w:val="Revision"/>
    <w:hidden/>
    <w:uiPriority w:val="99"/>
    <w:unhideWhenUsed/>
    <w:rsid w:val="00325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EA3FF4D-B1EA-4215-B0A4-8B7BEF3414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145</Words>
  <Characters>830</Characters>
  <Application>Microsoft Office Word</Application>
  <DocSecurity>0</DocSecurity>
  <Lines>6</Lines>
  <Paragraphs>1</Paragraphs>
  <ScaleCrop>false</ScaleCrop>
  <Company>微软中国</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yy d</cp:lastModifiedBy>
  <cp:revision>27</cp:revision>
  <cp:lastPrinted>2014-02-21T05:34:00Z</cp:lastPrinted>
  <dcterms:created xsi:type="dcterms:W3CDTF">2025-11-13T08:53:00Z</dcterms:created>
  <dcterms:modified xsi:type="dcterms:W3CDTF">2025-12-26T07:45:00Z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