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6465F" w14:textId="77777777" w:rsidR="00AC03E7" w:rsidRDefault="00AC03E7" w:rsidP="0036097F">
      <w:pPr>
        <w:tabs>
          <w:tab w:val="left" w:pos="5920"/>
        </w:tabs>
        <w:spacing w:line="276" w:lineRule="auto"/>
        <w:rPr>
          <w:rFonts w:asciiTheme="minorEastAsia" w:hAnsiTheme="minorEastAsia"/>
          <w:sz w:val="24"/>
          <w:szCs w:val="24"/>
        </w:rPr>
      </w:pPr>
      <w:r w:rsidRPr="00A27826">
        <w:rPr>
          <w:rFonts w:asciiTheme="minorEastAsia" w:hAnsiTheme="minorEastAsia" w:hint="eastAsia"/>
          <w:sz w:val="24"/>
          <w:szCs w:val="24"/>
        </w:rPr>
        <w:t>证券代码：603861</w:t>
      </w:r>
      <w:r w:rsidRPr="00A27826">
        <w:rPr>
          <w:rFonts w:asciiTheme="minorEastAsia" w:hAnsiTheme="minorEastAsia" w:hint="eastAsia"/>
          <w:sz w:val="24"/>
          <w:szCs w:val="24"/>
        </w:rPr>
        <w:tab/>
        <w:t>证券简称：白云电器</w:t>
      </w:r>
    </w:p>
    <w:p w14:paraId="484EEDB2" w14:textId="77777777" w:rsidR="0036097F" w:rsidRPr="00A27826" w:rsidRDefault="0036097F" w:rsidP="0036097F">
      <w:pPr>
        <w:tabs>
          <w:tab w:val="left" w:pos="5920"/>
        </w:tabs>
        <w:spacing w:line="276" w:lineRule="auto"/>
        <w:rPr>
          <w:rFonts w:asciiTheme="minorEastAsia" w:hAnsiTheme="minorEastAsia"/>
          <w:sz w:val="24"/>
          <w:szCs w:val="24"/>
        </w:rPr>
      </w:pPr>
    </w:p>
    <w:p w14:paraId="5A8AA9F6" w14:textId="77777777" w:rsidR="00AC03E7" w:rsidRPr="00A27826" w:rsidRDefault="00AC03E7" w:rsidP="00AC03E7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广州白云电器设备股份有限公司</w:t>
      </w:r>
    </w:p>
    <w:p w14:paraId="3FAA17C5" w14:textId="6C75D1F4" w:rsidR="00854873" w:rsidRPr="00A27826" w:rsidRDefault="00AC03E7" w:rsidP="00AC03E7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854873" w:rsidRPr="00A27826" w14:paraId="76AA030F" w14:textId="77777777" w:rsidTr="00AC03E7">
        <w:tc>
          <w:tcPr>
            <w:tcW w:w="2127" w:type="dxa"/>
            <w:vAlign w:val="center"/>
          </w:tcPr>
          <w:p w14:paraId="7B5EAFEA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938" w:type="dxa"/>
          </w:tcPr>
          <w:p w14:paraId="576265C6" w14:textId="410E1F31" w:rsidR="00AC03E7" w:rsidRPr="00A27826" w:rsidRDefault="001E2A3D" w:rsidP="00AC03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   </w:t>
            </w:r>
            <w:r w:rsidR="00B56BDB"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14:paraId="74E73CAF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□媒体采访        □业绩说明会</w:t>
            </w:r>
          </w:p>
          <w:p w14:paraId="66100B05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OLE_LINK8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bookmarkEnd w:id="0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新闻发布会      </w:t>
            </w:r>
            <w:bookmarkStart w:id="1" w:name="OLE_LINK7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bookmarkEnd w:id="1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</w:p>
          <w:p w14:paraId="6FE9C7FC" w14:textId="3AA0CB98" w:rsidR="00854873" w:rsidRPr="00A27826" w:rsidRDefault="001E2A3D" w:rsidP="00AC03E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E2A3D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</w:t>
            </w: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56BDB">
              <w:rPr>
                <w:rFonts w:asciiTheme="minorEastAsia" w:hAnsiTheme="minorEastAsia" w:hint="eastAsia"/>
                <w:sz w:val="24"/>
                <w:szCs w:val="24"/>
              </w:rPr>
              <w:t>电话会议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54873" w:rsidRPr="00A27826" w14:paraId="221EB2B3" w14:textId="77777777" w:rsidTr="00AC03E7">
        <w:trPr>
          <w:trHeight w:val="1190"/>
        </w:trPr>
        <w:tc>
          <w:tcPr>
            <w:tcW w:w="2127" w:type="dxa"/>
            <w:vAlign w:val="center"/>
          </w:tcPr>
          <w:p w14:paraId="1C983AA1" w14:textId="2BC79D43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参会单位名称及人员姓名</w:t>
            </w:r>
          </w:p>
        </w:tc>
        <w:tc>
          <w:tcPr>
            <w:tcW w:w="7938" w:type="dxa"/>
          </w:tcPr>
          <w:p w14:paraId="3CFF1D95" w14:textId="06026927" w:rsidR="009F5617" w:rsidRPr="009F5617" w:rsidRDefault="00C23D9B" w:rsidP="0066574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0146B">
              <w:rPr>
                <w:rFonts w:asciiTheme="minorEastAsia" w:hAnsiTheme="minorEastAsia" w:hint="eastAsia"/>
                <w:sz w:val="24"/>
                <w:szCs w:val="24"/>
              </w:rPr>
              <w:t>东方财富证券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C14E73" w:rsidRPr="00C14E73">
              <w:rPr>
                <w:rFonts w:asciiTheme="minorEastAsia" w:hAnsiTheme="minorEastAsia" w:hint="eastAsia"/>
                <w:sz w:val="24"/>
                <w:szCs w:val="24"/>
              </w:rPr>
              <w:t>华银天夏基金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42016" w:rsidRPr="00042016">
              <w:rPr>
                <w:rFonts w:asciiTheme="minorEastAsia" w:hAnsiTheme="minorEastAsia" w:hint="eastAsia"/>
                <w:sz w:val="24"/>
                <w:szCs w:val="24"/>
              </w:rPr>
              <w:t>天贝合基金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A62D4" w:rsidRPr="004A62D4">
              <w:rPr>
                <w:rFonts w:asciiTheme="minorEastAsia" w:hAnsiTheme="minorEastAsia" w:hint="eastAsia"/>
                <w:sz w:val="24"/>
                <w:szCs w:val="24"/>
              </w:rPr>
              <w:t>浙江创投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A62D4" w:rsidRPr="004A62D4">
              <w:rPr>
                <w:rFonts w:asciiTheme="minorEastAsia" w:hAnsiTheme="minorEastAsia" w:hint="eastAsia"/>
                <w:sz w:val="24"/>
                <w:szCs w:val="24"/>
              </w:rPr>
              <w:t>信远基金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中大情基金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奶酪投资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前海畅誉投资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航长投资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粤铁投基金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英业达投资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博众智能投资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兴鼎鳌投资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90146B" w:rsidRPr="0090146B">
              <w:rPr>
                <w:rFonts w:asciiTheme="minorEastAsia" w:hAnsiTheme="minorEastAsia" w:hint="eastAsia"/>
                <w:sz w:val="24"/>
                <w:szCs w:val="24"/>
              </w:rPr>
              <w:t>瑞民投资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、东吴基金</w:t>
            </w:r>
          </w:p>
        </w:tc>
      </w:tr>
      <w:tr w:rsidR="00854873" w:rsidRPr="00A27826" w14:paraId="3222B2E3" w14:textId="77777777" w:rsidTr="00AC03E7">
        <w:tc>
          <w:tcPr>
            <w:tcW w:w="2127" w:type="dxa"/>
            <w:vAlign w:val="center"/>
          </w:tcPr>
          <w:p w14:paraId="0EBA4124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A61B9D4" w14:textId="363B0B5D" w:rsidR="00854873" w:rsidRPr="00A27826" w:rsidRDefault="00967CB5" w:rsidP="00A0257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/>
                <w:sz w:val="24"/>
                <w:szCs w:val="24"/>
              </w:rPr>
              <w:t>202</w:t>
            </w:r>
            <w:r w:rsidR="007A604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05145D">
              <w:rPr>
                <w:rFonts w:asciiTheme="minorEastAsia" w:hAnsiTheme="minorEastAsia" w:hint="eastAsia"/>
                <w:sz w:val="24"/>
                <w:szCs w:val="24"/>
              </w:rPr>
              <w:t>12月2</w:t>
            </w:r>
            <w:r w:rsidR="00477A2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54873" w:rsidRPr="00A27826" w14:paraId="3CB59DBC" w14:textId="77777777" w:rsidTr="00AC03E7">
        <w:tc>
          <w:tcPr>
            <w:tcW w:w="2127" w:type="dxa"/>
            <w:vAlign w:val="center"/>
          </w:tcPr>
          <w:p w14:paraId="78358321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37F492EF" w14:textId="6D880D06" w:rsidR="00854873" w:rsidRPr="00A27826" w:rsidRDefault="00EE63D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E63D7">
              <w:rPr>
                <w:rFonts w:asciiTheme="minorEastAsia" w:hAnsiTheme="minorEastAsia" w:hint="eastAsia"/>
                <w:sz w:val="24"/>
                <w:szCs w:val="24"/>
              </w:rPr>
              <w:t>公司办公楼404会议室</w:t>
            </w:r>
          </w:p>
        </w:tc>
      </w:tr>
      <w:tr w:rsidR="00854873" w:rsidRPr="00A27826" w14:paraId="2D381DDE" w14:textId="77777777" w:rsidTr="00AC03E7">
        <w:tc>
          <w:tcPr>
            <w:tcW w:w="2127" w:type="dxa"/>
            <w:vAlign w:val="center"/>
          </w:tcPr>
          <w:p w14:paraId="3A5BC4BA" w14:textId="0501539F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938" w:type="dxa"/>
          </w:tcPr>
          <w:p w14:paraId="22A04658" w14:textId="77777777" w:rsidR="00D52C9F" w:rsidRDefault="009B3C17" w:rsidP="00E81FF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 程轶颖</w:t>
            </w:r>
          </w:p>
          <w:p w14:paraId="46DF8D7D" w14:textId="77777777" w:rsidR="00D52C9F" w:rsidRDefault="00AF4AD3" w:rsidP="00E81FF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AF4AD3">
              <w:rPr>
                <w:rFonts w:asciiTheme="minorEastAsia" w:hAnsiTheme="minorEastAsia" w:hint="eastAsia"/>
                <w:sz w:val="24"/>
                <w:szCs w:val="24"/>
              </w:rPr>
              <w:t>副总经理兼财务负责人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F4AD3">
              <w:rPr>
                <w:rFonts w:asciiTheme="minorEastAsia" w:hAnsiTheme="minorEastAsia" w:hint="eastAsia"/>
                <w:sz w:val="24"/>
                <w:szCs w:val="24"/>
              </w:rPr>
              <w:t>温中华</w:t>
            </w:r>
          </w:p>
          <w:p w14:paraId="745812E5" w14:textId="0943C317" w:rsidR="0076176B" w:rsidRDefault="00AD68DC" w:rsidP="00E81FF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Theme="minorEastAsia" w:hAnsiTheme="minorEastAsia" w:hint="eastAsia"/>
                <w:sz w:val="24"/>
                <w:szCs w:val="24"/>
              </w:rPr>
              <w:t>副总经理 曾彬华</w:t>
            </w:r>
          </w:p>
          <w:p w14:paraId="7B05EBE8" w14:textId="105F965D" w:rsidR="0076176B" w:rsidRPr="00A27826" w:rsidRDefault="00C23D9B" w:rsidP="00AF4A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</w:t>
            </w:r>
            <w:r w:rsidR="00E81FF4">
              <w:rPr>
                <w:rFonts w:asciiTheme="minorEastAsia" w:hAnsiTheme="minorEastAsia" w:hint="eastAsia"/>
                <w:sz w:val="24"/>
                <w:szCs w:val="24"/>
              </w:rPr>
              <w:t>总工</w:t>
            </w:r>
            <w:r w:rsidR="0076176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6176B" w:rsidRPr="0076176B">
              <w:rPr>
                <w:rFonts w:asciiTheme="minorEastAsia" w:hAnsiTheme="minorEastAsia" w:hint="eastAsia"/>
                <w:sz w:val="24"/>
                <w:szCs w:val="24"/>
              </w:rPr>
              <w:t>余龙</w:t>
            </w:r>
          </w:p>
        </w:tc>
      </w:tr>
      <w:tr w:rsidR="00854873" w:rsidRPr="00A27826" w14:paraId="77E1A3DF" w14:textId="77777777" w:rsidTr="00AC03E7">
        <w:tc>
          <w:tcPr>
            <w:tcW w:w="2127" w:type="dxa"/>
            <w:vAlign w:val="center"/>
          </w:tcPr>
          <w:p w14:paraId="7DD11241" w14:textId="77777777" w:rsidR="00854873" w:rsidRPr="00A27826" w:rsidRDefault="000B7A50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_Hlk181274632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7938" w:type="dxa"/>
          </w:tcPr>
          <w:p w14:paraId="658EA99A" w14:textId="77777777" w:rsidR="00042016" w:rsidRPr="00042016" w:rsidRDefault="00042016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 w:rsidRPr="00042016">
              <w:rPr>
                <w:rFonts w:eastAsia="宋体" w:hint="eastAsia"/>
                <w:b/>
                <w:sz w:val="24"/>
                <w:szCs w:val="24"/>
              </w:rPr>
              <w:t>1. </w:t>
            </w:r>
            <w:r w:rsidRPr="00042016">
              <w:rPr>
                <w:rFonts w:eastAsia="宋体" w:hint="eastAsia"/>
                <w:b/>
                <w:sz w:val="24"/>
                <w:szCs w:val="24"/>
              </w:rPr>
              <w:t>问：公司在数据中心领域的布局和技术优势是什么？</w:t>
            </w:r>
          </w:p>
          <w:p w14:paraId="2D0D69F0" w14:textId="4BFA1251" w:rsidR="00042016" w:rsidRPr="00042016" w:rsidRDefault="00042016" w:rsidP="00DE72DE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FA6D5F" w:rsidRPr="003F577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受益于 AI 发展、“东数西算” 等政策，数据中心成为电力行业重要增长点，公司也在积极加码布局</w:t>
            </w:r>
            <w:r w:rsidR="00FA6D5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；</w:t>
            </w:r>
            <w:r w:rsidR="003F5778" w:rsidRPr="003F577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公司十多年前就与三大运营商、</w:t>
            </w:r>
            <w:r w:rsidR="00FA6D5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金融机构</w:t>
            </w:r>
            <w:r w:rsidR="003F5778" w:rsidRPr="003F577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合作，数据中心业务累计落地</w:t>
            </w:r>
            <w:r w:rsidR="00FA6D5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多</w:t>
            </w:r>
            <w:r w:rsidR="003F5778" w:rsidRPr="003F577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个项目，已为中国联通韶关项目等供货；为算力中心提供变压器，中压柜，低压柜，母线槽，配电箱产品，积累了丰富经验；当前，公司已完成数据中心用智能小母线及一体化电力模块产品研发，750 伏直流配电方案已在工业园区、智能楼宇、地铁车站三大场景落地。公司已经具备800VHVDC等技术储备，将持续强化数据中心配电产品系列及解决方案，致力于推出更加安全可靠的供电保障产品及方案</w:t>
            </w:r>
            <w:r w:rsidR="001F2C14" w:rsidRPr="001F2C1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</w:p>
          <w:p w14:paraId="42E4B055" w14:textId="7200F956" w:rsidR="00042016" w:rsidRPr="00042016" w:rsidRDefault="00042016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 w:rsidRPr="00042016">
              <w:rPr>
                <w:rFonts w:eastAsia="宋体" w:hint="eastAsia"/>
                <w:b/>
                <w:sz w:val="24"/>
                <w:szCs w:val="24"/>
              </w:rPr>
              <w:t>2. </w:t>
            </w:r>
            <w:r w:rsidRPr="00042016">
              <w:rPr>
                <w:rFonts w:eastAsia="宋体" w:hint="eastAsia"/>
                <w:b/>
                <w:sz w:val="24"/>
                <w:szCs w:val="24"/>
              </w:rPr>
              <w:t>问：公司的数字化工厂</w:t>
            </w:r>
            <w:r w:rsidR="00F43A63">
              <w:rPr>
                <w:rFonts w:eastAsia="宋体" w:hint="eastAsia"/>
                <w:b/>
                <w:sz w:val="24"/>
                <w:szCs w:val="24"/>
              </w:rPr>
              <w:t>情况</w:t>
            </w:r>
            <w:r w:rsidRPr="00042016">
              <w:rPr>
                <w:rFonts w:eastAsia="宋体" w:hint="eastAsia"/>
                <w:b/>
                <w:sz w:val="24"/>
                <w:szCs w:val="24"/>
              </w:rPr>
              <w:t>如何？</w:t>
            </w:r>
          </w:p>
          <w:p w14:paraId="5A4D788E" w14:textId="20F43B2C" w:rsidR="00042016" w:rsidRPr="00042016" w:rsidRDefault="00042016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答：公司数字化工厂在2016 年启动建设，2019 年投入使用，融合 5G、AGV 等技术，同时获得了工信部 “国家级智能制造工厂” 的认定。</w:t>
            </w:r>
            <w:r w:rsidR="00794B81" w:rsidRPr="00794B8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获评国家制造业与互联网融合发展、智能制造综合标准化与新模式应用试点示</w:t>
            </w:r>
            <w:r w:rsidR="00794B81" w:rsidRPr="00794B8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范企业，</w:t>
            </w:r>
            <w:r w:rsidR="00794B8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公司数字化工厂</w:t>
            </w:r>
            <w:r w:rsidR="00794B81" w:rsidRPr="00794B8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顺利通过国家智能制造示范工厂验收并入选国家级绿色工厂，是公司实现从 “生产驱动” 到 “数据驱动”、从 “装备制造” 到 “智造服务” 转型的核心载体。目前，桂林、绍兴、韶关、徐州等基地已全面落地数字化能力并投入运营，有效提升生产效率与产品质量，实现生产全过程透明化、数字化管控</w:t>
            </w:r>
            <w:r w:rsidR="00794B8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</w:p>
          <w:p w14:paraId="6916CAF5" w14:textId="32633910" w:rsidR="00042016" w:rsidRPr="00042016" w:rsidRDefault="001C3F1E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3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bookmarkStart w:id="4" w:name="OLE_LINK1"/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目前媒体上报道有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50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多个国家在排队买中国的变压器这样一个现象。但西门子方面的一些资料显示订单已经拿到了三年以后，以目前的良好形式，公司是否有相关的措施，拿到更多的出海订单？</w:t>
            </w:r>
            <w:bookmarkEnd w:id="4"/>
          </w:p>
          <w:p w14:paraId="2A74FE02" w14:textId="60D8F397" w:rsidR="00042016" w:rsidRPr="00042016" w:rsidRDefault="00042016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FA6D5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围绕海外市场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，公司持续推进战略聚焦，精准发力、定向布局。2025 年</w:t>
            </w:r>
            <w:r w:rsid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，公司子公司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浙变电气加快搭建海外市场、技术等专业队伍，全面提速海外市场开拓进程。截止目前，</w:t>
            </w:r>
            <w:r w:rsid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浙变电气</w:t>
            </w:r>
            <w:r w:rsidR="00036600" w:rsidRP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已完成符合美国标准的变压器研制，</w:t>
            </w:r>
            <w:r w:rsid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其变压器产品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已在美国比特小鹿</w:t>
            </w:r>
            <w:r w:rsidR="00036600" w:rsidRP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110kV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项目</w:t>
            </w:r>
            <w:r w:rsid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中成功交付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。同时，公司</w:t>
            </w:r>
            <w:r w:rsidR="00036600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已拓展多个海外市场项目，目前</w:t>
            </w:r>
            <w:r w:rsidR="0088595D" w:rsidRPr="0088595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已成功签订马拉维扩建站项目、毛里塔尼亚燃料电厂主变项目、纳米比亚光伏项目、菲律宾干变项目、泰国干变项目、德国政府配变项目、印度尼西亚水电配变项目、刚果配变项目，此外智利电网项目已实现预中标。</w:t>
            </w:r>
          </w:p>
          <w:p w14:paraId="3BA16808" w14:textId="7588DEA9" w:rsidR="00042016" w:rsidRPr="00E27915" w:rsidRDefault="002124AD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 w:rsidRPr="00E27915">
              <w:rPr>
                <w:rFonts w:eastAsia="宋体" w:hint="eastAsia"/>
                <w:b/>
                <w:sz w:val="24"/>
                <w:szCs w:val="24"/>
              </w:rPr>
              <w:t>4.</w:t>
            </w:r>
            <w:r w:rsidR="00042016" w:rsidRPr="00E27915">
              <w:rPr>
                <w:rFonts w:eastAsia="宋体" w:hint="eastAsia"/>
                <w:b/>
                <w:sz w:val="24"/>
                <w:szCs w:val="24"/>
              </w:rPr>
              <w:t> </w:t>
            </w:r>
            <w:r w:rsidR="00042016" w:rsidRPr="00E27915">
              <w:rPr>
                <w:rFonts w:eastAsia="宋体" w:hint="eastAsia"/>
                <w:b/>
                <w:sz w:val="24"/>
                <w:szCs w:val="24"/>
              </w:rPr>
              <w:t>问：</w:t>
            </w:r>
            <w:bookmarkStart w:id="5" w:name="OLE_LINK3"/>
            <w:bookmarkStart w:id="6" w:name="OLE_LINK4"/>
            <w:r w:rsidR="00042016" w:rsidRPr="00E27915">
              <w:rPr>
                <w:rFonts w:eastAsia="宋体" w:hint="eastAsia"/>
                <w:b/>
                <w:sz w:val="24"/>
                <w:szCs w:val="24"/>
              </w:rPr>
              <w:t>公司计划如何提升毛利率和净利润？</w:t>
            </w:r>
            <w:bookmarkEnd w:id="5"/>
          </w:p>
          <w:bookmarkEnd w:id="6"/>
          <w:p w14:paraId="43DA165A" w14:textId="69B2EDF4" w:rsidR="00042016" w:rsidRPr="00042016" w:rsidRDefault="00042016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C23D9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</w:t>
            </w:r>
            <w:r w:rsidR="00C23D9B" w:rsidRPr="00C23D9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一方面聚焦高附加值产品升级，持续加大特高压 / 超高压设备、智能变压器、组合电器等核心领域研发投入，同时拓展海外市场的订单，聚焦新能源配套、电网升级等应用场景，另一方面深化降本增效，推进生产流程智能化改造与数字化协同管理，缩短生产周期、优化订单交付效率，</w:t>
            </w:r>
            <w:r w:rsidR="00C23D9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努力</w:t>
            </w:r>
            <w:r w:rsidR="00C23D9B" w:rsidRPr="00C23D9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实现毛利率与净利润稳步提升。</w:t>
            </w:r>
          </w:p>
          <w:p w14:paraId="209866AB" w14:textId="00A5FA73" w:rsidR="00042016" w:rsidRPr="00042016" w:rsidRDefault="00334F0B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bookmarkStart w:id="7" w:name="OLE_LINK2"/>
            <w:r>
              <w:rPr>
                <w:rFonts w:eastAsia="宋体" w:hint="eastAsia"/>
                <w:b/>
                <w:sz w:val="24"/>
                <w:szCs w:val="24"/>
              </w:rPr>
              <w:t>5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bookmarkEnd w:id="7"/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目前原材料涨价较猛，对公司未来有什么影响？</w:t>
            </w:r>
          </w:p>
          <w:p w14:paraId="11A77E26" w14:textId="6B47CB4F" w:rsidR="00042016" w:rsidRPr="00042016" w:rsidRDefault="00042016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bookmarkStart w:id="8" w:name="OLE_LINK11"/>
            <w:r w:rsidR="00463254" w:rsidRPr="0046325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公司产品原材料</w:t>
            </w:r>
            <w:r w:rsidR="0046325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主要</w:t>
            </w:r>
            <w:r w:rsidR="00463254" w:rsidRPr="0046325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包括断路器、互感器、隔离开关、启动器等各类元器件及铜材、钢材等金属材料，受国际形势变化影响，大宗商品价格存在</w:t>
            </w:r>
            <w:r w:rsidR="001624C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一定的</w:t>
            </w:r>
            <w:r w:rsidR="00463254" w:rsidRPr="0046325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波动风险，对此公司供应链实施多元化战略，以本地化采购与供方分级管理并行保障品类供应多元化，规避单一供应风险，同时与优质供应商建立长期稳定合作关系确保原材料供应及时充足，并综合运用期货套期保值等方式动态平衡价格波动风险，降低市场变动对成本的冲击。</w:t>
            </w:r>
          </w:p>
          <w:bookmarkEnd w:id="8"/>
          <w:p w14:paraId="0F980C86" w14:textId="779314F3" w:rsidR="001C3F1E" w:rsidRPr="001C3F1E" w:rsidRDefault="00334F0B" w:rsidP="001C3F1E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6</w:t>
            </w:r>
            <w:r w:rsidR="00E23972" w:rsidRPr="00E23972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E23972" w:rsidRPr="00E23972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C3F1E" w:rsidRPr="001C3F1E">
              <w:rPr>
                <w:rFonts w:eastAsia="宋体" w:hint="eastAsia"/>
                <w:b/>
                <w:sz w:val="24"/>
                <w:szCs w:val="24"/>
              </w:rPr>
              <w:t>公司主要产品及公司下游市场结构？</w:t>
            </w:r>
          </w:p>
          <w:p w14:paraId="572518D7" w14:textId="175DF653" w:rsidR="001C3F1E" w:rsidRPr="001C3F1E" w:rsidRDefault="001C3F1E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CA33F7" w:rsidRPr="00CA33F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公司拥有完整的电力设备产品链，产品电压等级涵盖0.4kV-1100kV，</w:t>
            </w:r>
            <w:r w:rsidR="008754F7" w:rsidRPr="00CA33F7">
              <w:rPr>
                <w:rFonts w:hint="eastAsia"/>
                <w:sz w:val="24"/>
                <w:szCs w:val="24"/>
              </w:rPr>
              <w:t>覆盖发电、输电、变配电、用电全环节</w:t>
            </w:r>
            <w:r w:rsidR="00CA33F7" w:rsidRPr="00CA33F7">
              <w:rPr>
                <w:rFonts w:hint="eastAsia"/>
                <w:sz w:val="24"/>
                <w:szCs w:val="24"/>
              </w:rPr>
              <w:t>，主要产品</w:t>
            </w:r>
            <w:r w:rsidRPr="00CA33F7">
              <w:rPr>
                <w:rFonts w:ascii="宋体" w:eastAsia="宋体" w:hAnsi="宋体" w:cs="宋体" w:hint="eastAsia"/>
                <w:bCs/>
                <w:sz w:val="24"/>
                <w:szCs w:val="24"/>
              </w:rPr>
              <w:t>包括成</w:t>
            </w:r>
            <w:r w:rsidRPr="00CA33F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套设备、变压器、特高压电容器等，以高压、中压领域为核心，基本面发展稳健；公司的主要下游市场有电网、轨道交通、新能源和工业终端</w:t>
            </w:r>
            <w:r w:rsidR="0093087A" w:rsidRPr="00CA33F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等</w:t>
            </w:r>
            <w:r w:rsidRPr="00CA33F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。其中，公司新能源市场领域涵盖范围广</w:t>
            </w:r>
            <w:r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泛，包括新能源发电、新能源制造领域等，主要为客户提供输变配电设备。</w:t>
            </w:r>
          </w:p>
          <w:p w14:paraId="4536D7BB" w14:textId="331C5851" w:rsidR="001C3F1E" w:rsidRPr="002733E7" w:rsidRDefault="00334F0B" w:rsidP="001C3F1E">
            <w:pPr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7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公司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750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伏直流配电系统的应用场景及核心优势？</w:t>
            </w:r>
          </w:p>
          <w:p w14:paraId="479F4E13" w14:textId="3D671DC2" w:rsidR="00EA60E3" w:rsidRDefault="001338F4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直流配电系统需求日益增长，公司将传统380伏交流配电替换为750伏直流配电制式，</w:t>
            </w:r>
            <w:r w:rsidR="00984695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材料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购置费用降低50%；电能传输损耗小，体积</w:t>
            </w:r>
            <w:r w:rsidR="00984695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及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占地面积减少，节省投资；研发的保护机制，兼顾选择性、灵敏性与可靠性，且解决了接地及用电负载生态适配问题。</w:t>
            </w:r>
          </w:p>
          <w:p w14:paraId="7EA51232" w14:textId="77777777" w:rsidR="00EA60E3" w:rsidRDefault="001C3F1E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已工程落地750V直流配电系统的三个应用案例：</w:t>
            </w:r>
          </w:p>
          <w:p w14:paraId="569DB089" w14:textId="3E4A2799" w:rsidR="00EA60E3" w:rsidRPr="00EA60E3" w:rsidRDefault="001C3F1E" w:rsidP="0071461D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EA60E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工业园区（750V光储充柔直系统）；</w:t>
            </w:r>
          </w:p>
          <w:p w14:paraId="0AC4BA56" w14:textId="2F8BC2CA" w:rsidR="00EA60E3" w:rsidRPr="00B50C3B" w:rsidRDefault="001C3F1E" w:rsidP="0071461D">
            <w:pPr>
              <w:pStyle w:val="aa"/>
              <w:numPr>
                <w:ilvl w:val="0"/>
                <w:numId w:val="3"/>
              </w:numPr>
              <w:spacing w:line="360" w:lineRule="auto"/>
              <w:ind w:firstLineChars="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EA60E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地铁车站（2万平米公共区域750V直流动力和照明配电</w:t>
            </w:r>
            <w:r w:rsidRPr="00B50C3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）；</w:t>
            </w:r>
          </w:p>
          <w:p w14:paraId="2753E2A3" w14:textId="37ED64D5" w:rsidR="001C3F1E" w:rsidRPr="00C946C7" w:rsidRDefault="00EA60E3" w:rsidP="0071461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C946C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（3）</w:t>
            </w:r>
            <w:r w:rsidR="0071461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="001C3F1E" w:rsidRPr="00C946C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智慧楼宇（科技大厦光储柔直充系统，配套10千伏直挂SST，无变压器，以750V配电母线，覆盖大功率充电桩、照明等）。</w:t>
            </w:r>
          </w:p>
          <w:p w14:paraId="2BE57D4D" w14:textId="5A90A1EE" w:rsidR="001C3F1E" w:rsidRPr="00FA2398" w:rsidRDefault="00334F0B" w:rsidP="001C3F1E">
            <w:pPr>
              <w:spacing w:line="360" w:lineRule="auto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8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桂容的主要竞争优势？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</w:p>
          <w:p w14:paraId="3AEE0135" w14:textId="2588BC7C" w:rsidR="001C3F1E" w:rsidRPr="001C3F1E" w:rsidRDefault="001338F4" w:rsidP="0088595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桂林电容从事电力电容器成套装置的研发生产，其主导产品是输变电工程所用电力电容器成套装置（包括并联成套装置、滤波成套置）</w:t>
            </w:r>
            <w:r w:rsidR="00CF40F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以及电容式电压互感器、金属化膜电容器以及电力电子产品。桂林电容多年来在生产、销售、市场份额方面都有着相当的影响力，</w:t>
            </w:r>
            <w:r w:rsidR="00D563D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曾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获得国家科技进步特等奖。</w:t>
            </w:r>
          </w:p>
          <w:p w14:paraId="4AF363D2" w14:textId="29F66470" w:rsidR="001C3F1E" w:rsidRPr="002733E7" w:rsidRDefault="00E5337D" w:rsidP="001C3F1E">
            <w:pPr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9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如何看待资本市场沟通？</w:t>
            </w:r>
          </w:p>
          <w:p w14:paraId="764959E9" w14:textId="3AFECBFE" w:rsidR="001C3F1E" w:rsidRPr="001C3F1E" w:rsidRDefault="001338F4" w:rsidP="00E4488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公司高度重视市值管理工作，以及各类投资者的意见、建议反馈，公司会加强业务梳理与价值挖掘，向资本市场清晰传递核心业务与发展逻辑，提升机构认可度，同时通过业绩持续兑现建立市场信任。</w:t>
            </w:r>
          </w:p>
          <w:p w14:paraId="770B2BB0" w14:textId="1288A529" w:rsidR="001C3F1E" w:rsidRPr="002733E7" w:rsidRDefault="00E5337D" w:rsidP="001C3F1E">
            <w:pPr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10.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C3F1E" w:rsidRPr="002733E7">
              <w:rPr>
                <w:rFonts w:eastAsia="宋体" w:hint="eastAsia"/>
                <w:b/>
                <w:sz w:val="24"/>
                <w:szCs w:val="24"/>
              </w:rPr>
              <w:t>公司未来业务发展的重点？</w:t>
            </w:r>
          </w:p>
          <w:p w14:paraId="078EB7FC" w14:textId="77777777" w:rsidR="00E4488A" w:rsidRDefault="001338F4" w:rsidP="00E4488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1C3F1E"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国内市场：深耕本土市场，挖掘区域优势和客户资源，聚焦高毛利、高增长业务领域，提升市场占有率；</w:t>
            </w:r>
          </w:p>
          <w:p w14:paraId="63E589BB" w14:textId="14792BB7" w:rsidR="001C3F1E" w:rsidRPr="00042016" w:rsidRDefault="001C3F1E" w:rsidP="00E4488A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国际市场：依托现有海外业务基础，逐步扩大直接出海份额，稳步推进国际化布局，结合“一带一路”等政策机遇，探索海外市场的业务模式和合作渠道，同时做好海外市场的风险防控。</w:t>
            </w:r>
          </w:p>
        </w:tc>
      </w:tr>
      <w:bookmarkEnd w:id="3"/>
      <w:tr w:rsidR="00AC03E7" w:rsidRPr="00A27826" w14:paraId="2C8B1679" w14:textId="77777777" w:rsidTr="00AC03E7">
        <w:tc>
          <w:tcPr>
            <w:tcW w:w="2127" w:type="dxa"/>
            <w:vAlign w:val="center"/>
          </w:tcPr>
          <w:p w14:paraId="2C637E38" w14:textId="7777777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  <w:p w14:paraId="7D634B31" w14:textId="198B66A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7938" w:type="dxa"/>
            <w:vAlign w:val="center"/>
          </w:tcPr>
          <w:p w14:paraId="6548950E" w14:textId="724D241F" w:rsidR="00AC03E7" w:rsidRPr="00A27826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无</w:t>
            </w:r>
          </w:p>
        </w:tc>
      </w:tr>
      <w:tr w:rsidR="00AC03E7" w14:paraId="00B0C021" w14:textId="77777777" w:rsidTr="00AC03E7">
        <w:tc>
          <w:tcPr>
            <w:tcW w:w="2127" w:type="dxa"/>
            <w:vAlign w:val="center"/>
          </w:tcPr>
          <w:p w14:paraId="54EF6E32" w14:textId="5F3DE889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7938" w:type="dxa"/>
            <w:vAlign w:val="center"/>
          </w:tcPr>
          <w:p w14:paraId="0063689B" w14:textId="48A01637" w:rsidR="00AC03E7" w:rsidRPr="00AC03E7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2</w:t>
            </w:r>
            <w:r w:rsidRPr="00A27826">
              <w:rPr>
                <w:bCs/>
                <w:sz w:val="24"/>
                <w:szCs w:val="24"/>
              </w:rPr>
              <w:t>02</w:t>
            </w:r>
            <w:r w:rsidR="001C752A">
              <w:rPr>
                <w:rFonts w:hint="eastAsia"/>
                <w:bCs/>
                <w:sz w:val="24"/>
                <w:szCs w:val="24"/>
              </w:rPr>
              <w:t>5</w:t>
            </w:r>
            <w:r w:rsidRPr="00A27826">
              <w:rPr>
                <w:rFonts w:hint="eastAsia"/>
                <w:bCs/>
                <w:sz w:val="24"/>
                <w:szCs w:val="24"/>
              </w:rPr>
              <w:t>年</w:t>
            </w:r>
            <w:r w:rsidR="00600ACF">
              <w:rPr>
                <w:rFonts w:hint="eastAsia"/>
                <w:bCs/>
                <w:sz w:val="24"/>
                <w:szCs w:val="24"/>
              </w:rPr>
              <w:t>12</w:t>
            </w:r>
            <w:r w:rsidRPr="00A27826">
              <w:rPr>
                <w:rFonts w:hint="eastAsia"/>
                <w:bCs/>
                <w:sz w:val="24"/>
                <w:szCs w:val="24"/>
              </w:rPr>
              <w:t>月</w:t>
            </w:r>
            <w:r w:rsidR="00F811AA">
              <w:rPr>
                <w:rFonts w:hint="eastAsia"/>
                <w:bCs/>
                <w:sz w:val="24"/>
                <w:szCs w:val="24"/>
              </w:rPr>
              <w:t>2</w:t>
            </w:r>
            <w:r w:rsidR="00133888">
              <w:rPr>
                <w:rFonts w:hint="eastAsia"/>
                <w:bCs/>
                <w:sz w:val="24"/>
                <w:szCs w:val="24"/>
              </w:rPr>
              <w:t>5</w:t>
            </w:r>
            <w:r w:rsidRPr="00A27826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14:paraId="26589328" w14:textId="77777777" w:rsidR="00854873" w:rsidRDefault="0085487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54873">
      <w:footerReference w:type="default" r:id="rId8"/>
      <w:pgSz w:w="11906" w:h="16838"/>
      <w:pgMar w:top="1276" w:right="1800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CCE53" w14:textId="77777777" w:rsidR="00932F31" w:rsidRDefault="00932F31">
      <w:r>
        <w:separator/>
      </w:r>
    </w:p>
  </w:endnote>
  <w:endnote w:type="continuationSeparator" w:id="0">
    <w:p w14:paraId="242AEA0D" w14:textId="77777777" w:rsidR="00932F31" w:rsidRDefault="0093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782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14:paraId="3E346A43" w14:textId="77777777" w:rsidR="00854873" w:rsidRDefault="000B7A5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F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F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6331D" w14:textId="77777777" w:rsidR="00932F31" w:rsidRDefault="00932F31">
      <w:r>
        <w:separator/>
      </w:r>
    </w:p>
  </w:footnote>
  <w:footnote w:type="continuationSeparator" w:id="0">
    <w:p w14:paraId="64820716" w14:textId="77777777" w:rsidR="00932F31" w:rsidRDefault="0093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F3664"/>
    <w:multiLevelType w:val="hybridMultilevel"/>
    <w:tmpl w:val="CD2834EE"/>
    <w:lvl w:ilvl="0" w:tplc="717E91E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5129AB00"/>
    <w:multiLevelType w:val="singleLevel"/>
    <w:tmpl w:val="5129AB0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563E514B"/>
    <w:multiLevelType w:val="hybridMultilevel"/>
    <w:tmpl w:val="62EEAA08"/>
    <w:lvl w:ilvl="0" w:tplc="F99456B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69"/>
    <w:rsid w:val="0000267C"/>
    <w:rsid w:val="00005743"/>
    <w:rsid w:val="00015328"/>
    <w:rsid w:val="00016382"/>
    <w:rsid w:val="00027B10"/>
    <w:rsid w:val="00027DD8"/>
    <w:rsid w:val="00031FCF"/>
    <w:rsid w:val="00036600"/>
    <w:rsid w:val="00042016"/>
    <w:rsid w:val="000448BD"/>
    <w:rsid w:val="00046520"/>
    <w:rsid w:val="0005145D"/>
    <w:rsid w:val="00060140"/>
    <w:rsid w:val="000751D8"/>
    <w:rsid w:val="00087D43"/>
    <w:rsid w:val="000901B1"/>
    <w:rsid w:val="000963BC"/>
    <w:rsid w:val="000A27E1"/>
    <w:rsid w:val="000A33D4"/>
    <w:rsid w:val="000B5A00"/>
    <w:rsid w:val="000B5BFA"/>
    <w:rsid w:val="000B71FD"/>
    <w:rsid w:val="000B7A50"/>
    <w:rsid w:val="000C2E6F"/>
    <w:rsid w:val="000C640C"/>
    <w:rsid w:val="000D0D89"/>
    <w:rsid w:val="000D3458"/>
    <w:rsid w:val="000D4ABF"/>
    <w:rsid w:val="000F3AD5"/>
    <w:rsid w:val="000F7373"/>
    <w:rsid w:val="001029DC"/>
    <w:rsid w:val="00106532"/>
    <w:rsid w:val="001078C4"/>
    <w:rsid w:val="00133888"/>
    <w:rsid w:val="001338F4"/>
    <w:rsid w:val="0015016B"/>
    <w:rsid w:val="001546C9"/>
    <w:rsid w:val="00154E27"/>
    <w:rsid w:val="0015620C"/>
    <w:rsid w:val="00160DBD"/>
    <w:rsid w:val="001624C7"/>
    <w:rsid w:val="00176753"/>
    <w:rsid w:val="00182D9F"/>
    <w:rsid w:val="0019596E"/>
    <w:rsid w:val="001A198C"/>
    <w:rsid w:val="001A58C3"/>
    <w:rsid w:val="001A6EB2"/>
    <w:rsid w:val="001B32CC"/>
    <w:rsid w:val="001C3F1E"/>
    <w:rsid w:val="001C5FE5"/>
    <w:rsid w:val="001C752A"/>
    <w:rsid w:val="001D3777"/>
    <w:rsid w:val="001D4CFA"/>
    <w:rsid w:val="001E2A3D"/>
    <w:rsid w:val="001F2C14"/>
    <w:rsid w:val="001F6EB9"/>
    <w:rsid w:val="002064CC"/>
    <w:rsid w:val="00206F46"/>
    <w:rsid w:val="002124AD"/>
    <w:rsid w:val="00216BC7"/>
    <w:rsid w:val="00227E68"/>
    <w:rsid w:val="00233CEF"/>
    <w:rsid w:val="00240403"/>
    <w:rsid w:val="00245F4A"/>
    <w:rsid w:val="00247C17"/>
    <w:rsid w:val="002567D7"/>
    <w:rsid w:val="00263955"/>
    <w:rsid w:val="002679C0"/>
    <w:rsid w:val="002733E7"/>
    <w:rsid w:val="0028411A"/>
    <w:rsid w:val="002928C6"/>
    <w:rsid w:val="002B44B6"/>
    <w:rsid w:val="002C3568"/>
    <w:rsid w:val="002C4583"/>
    <w:rsid w:val="002C7A82"/>
    <w:rsid w:val="002D6154"/>
    <w:rsid w:val="002E22FB"/>
    <w:rsid w:val="002E2C50"/>
    <w:rsid w:val="002E78F9"/>
    <w:rsid w:val="002F2FC2"/>
    <w:rsid w:val="0030241D"/>
    <w:rsid w:val="003050D4"/>
    <w:rsid w:val="003171E1"/>
    <w:rsid w:val="003206FE"/>
    <w:rsid w:val="00332B99"/>
    <w:rsid w:val="00334F0B"/>
    <w:rsid w:val="00345EDA"/>
    <w:rsid w:val="0036097F"/>
    <w:rsid w:val="00360B30"/>
    <w:rsid w:val="0036116B"/>
    <w:rsid w:val="0038293B"/>
    <w:rsid w:val="003840EE"/>
    <w:rsid w:val="003C74A6"/>
    <w:rsid w:val="003E5FB4"/>
    <w:rsid w:val="003F5778"/>
    <w:rsid w:val="003F6AEC"/>
    <w:rsid w:val="003F7F19"/>
    <w:rsid w:val="00402927"/>
    <w:rsid w:val="004056CF"/>
    <w:rsid w:val="00426164"/>
    <w:rsid w:val="00454E43"/>
    <w:rsid w:val="00463254"/>
    <w:rsid w:val="00477A2F"/>
    <w:rsid w:val="00483BA2"/>
    <w:rsid w:val="004A62D4"/>
    <w:rsid w:val="004B5C75"/>
    <w:rsid w:val="004F15CC"/>
    <w:rsid w:val="004F2C94"/>
    <w:rsid w:val="00501743"/>
    <w:rsid w:val="00502158"/>
    <w:rsid w:val="00506AC9"/>
    <w:rsid w:val="005075DD"/>
    <w:rsid w:val="00510A4E"/>
    <w:rsid w:val="00513D76"/>
    <w:rsid w:val="00514DCC"/>
    <w:rsid w:val="00527110"/>
    <w:rsid w:val="005574F7"/>
    <w:rsid w:val="005613B2"/>
    <w:rsid w:val="00592ABD"/>
    <w:rsid w:val="00597474"/>
    <w:rsid w:val="005A3ECF"/>
    <w:rsid w:val="005B4CB9"/>
    <w:rsid w:val="005D0116"/>
    <w:rsid w:val="005D13FC"/>
    <w:rsid w:val="005E4F50"/>
    <w:rsid w:val="00600308"/>
    <w:rsid w:val="00600ACF"/>
    <w:rsid w:val="00602D52"/>
    <w:rsid w:val="00616EB5"/>
    <w:rsid w:val="00625050"/>
    <w:rsid w:val="00630D23"/>
    <w:rsid w:val="00637C4A"/>
    <w:rsid w:val="0064721B"/>
    <w:rsid w:val="006474CD"/>
    <w:rsid w:val="006600A4"/>
    <w:rsid w:val="00662298"/>
    <w:rsid w:val="00665740"/>
    <w:rsid w:val="00673538"/>
    <w:rsid w:val="00677F0A"/>
    <w:rsid w:val="00685095"/>
    <w:rsid w:val="00697AD9"/>
    <w:rsid w:val="006A0389"/>
    <w:rsid w:val="006C3AA5"/>
    <w:rsid w:val="006D0720"/>
    <w:rsid w:val="006D1850"/>
    <w:rsid w:val="006D565E"/>
    <w:rsid w:val="007000AE"/>
    <w:rsid w:val="00704713"/>
    <w:rsid w:val="0071461D"/>
    <w:rsid w:val="00726C3D"/>
    <w:rsid w:val="007308EC"/>
    <w:rsid w:val="007345C9"/>
    <w:rsid w:val="007408A7"/>
    <w:rsid w:val="00742CE8"/>
    <w:rsid w:val="007501CF"/>
    <w:rsid w:val="00753F16"/>
    <w:rsid w:val="00756F4D"/>
    <w:rsid w:val="0076176B"/>
    <w:rsid w:val="00765E90"/>
    <w:rsid w:val="00774E7F"/>
    <w:rsid w:val="00782FF0"/>
    <w:rsid w:val="00786F27"/>
    <w:rsid w:val="00794B81"/>
    <w:rsid w:val="007A4D3C"/>
    <w:rsid w:val="007A604A"/>
    <w:rsid w:val="007D144B"/>
    <w:rsid w:val="007D26F8"/>
    <w:rsid w:val="007F4B84"/>
    <w:rsid w:val="007F69FB"/>
    <w:rsid w:val="00807B8D"/>
    <w:rsid w:val="00817821"/>
    <w:rsid w:val="00831B80"/>
    <w:rsid w:val="0084661D"/>
    <w:rsid w:val="00854873"/>
    <w:rsid w:val="0085680E"/>
    <w:rsid w:val="00864392"/>
    <w:rsid w:val="00867A70"/>
    <w:rsid w:val="00867DF3"/>
    <w:rsid w:val="008754F7"/>
    <w:rsid w:val="00875935"/>
    <w:rsid w:val="00877C4A"/>
    <w:rsid w:val="00877D5F"/>
    <w:rsid w:val="0088595D"/>
    <w:rsid w:val="008A405E"/>
    <w:rsid w:val="008E30C3"/>
    <w:rsid w:val="0090146B"/>
    <w:rsid w:val="00902F34"/>
    <w:rsid w:val="00913D10"/>
    <w:rsid w:val="0093087A"/>
    <w:rsid w:val="00932F31"/>
    <w:rsid w:val="0093435E"/>
    <w:rsid w:val="009429E4"/>
    <w:rsid w:val="00967CB5"/>
    <w:rsid w:val="00976E01"/>
    <w:rsid w:val="00980821"/>
    <w:rsid w:val="00984695"/>
    <w:rsid w:val="009948D0"/>
    <w:rsid w:val="00997230"/>
    <w:rsid w:val="009A0E33"/>
    <w:rsid w:val="009A165E"/>
    <w:rsid w:val="009A1B70"/>
    <w:rsid w:val="009A5863"/>
    <w:rsid w:val="009A64D4"/>
    <w:rsid w:val="009B0EE7"/>
    <w:rsid w:val="009B2F30"/>
    <w:rsid w:val="009B3C17"/>
    <w:rsid w:val="009C7192"/>
    <w:rsid w:val="009E2E94"/>
    <w:rsid w:val="009E5B39"/>
    <w:rsid w:val="009F5617"/>
    <w:rsid w:val="009F6E2E"/>
    <w:rsid w:val="00A02576"/>
    <w:rsid w:val="00A0299A"/>
    <w:rsid w:val="00A02C5B"/>
    <w:rsid w:val="00A04E11"/>
    <w:rsid w:val="00A261CB"/>
    <w:rsid w:val="00A27826"/>
    <w:rsid w:val="00A32C32"/>
    <w:rsid w:val="00A3375B"/>
    <w:rsid w:val="00A3753A"/>
    <w:rsid w:val="00A46D30"/>
    <w:rsid w:val="00A5097D"/>
    <w:rsid w:val="00A51E14"/>
    <w:rsid w:val="00A525FA"/>
    <w:rsid w:val="00A5295B"/>
    <w:rsid w:val="00A57D6C"/>
    <w:rsid w:val="00A80C7D"/>
    <w:rsid w:val="00A83ECF"/>
    <w:rsid w:val="00A87F38"/>
    <w:rsid w:val="00A937A3"/>
    <w:rsid w:val="00A94D5F"/>
    <w:rsid w:val="00A95C0B"/>
    <w:rsid w:val="00AB0B9D"/>
    <w:rsid w:val="00AB3F76"/>
    <w:rsid w:val="00AB58AE"/>
    <w:rsid w:val="00AB7688"/>
    <w:rsid w:val="00AC03E7"/>
    <w:rsid w:val="00AD141B"/>
    <w:rsid w:val="00AD64B7"/>
    <w:rsid w:val="00AD68DC"/>
    <w:rsid w:val="00AE4D91"/>
    <w:rsid w:val="00AF4AD3"/>
    <w:rsid w:val="00AF6579"/>
    <w:rsid w:val="00B339DF"/>
    <w:rsid w:val="00B448F7"/>
    <w:rsid w:val="00B50C3B"/>
    <w:rsid w:val="00B50F54"/>
    <w:rsid w:val="00B55369"/>
    <w:rsid w:val="00B56BDB"/>
    <w:rsid w:val="00B63D7C"/>
    <w:rsid w:val="00B65F09"/>
    <w:rsid w:val="00B8102C"/>
    <w:rsid w:val="00B9292F"/>
    <w:rsid w:val="00BB1DA9"/>
    <w:rsid w:val="00BB256D"/>
    <w:rsid w:val="00BB3D82"/>
    <w:rsid w:val="00BC2227"/>
    <w:rsid w:val="00BC48C9"/>
    <w:rsid w:val="00BD5F2E"/>
    <w:rsid w:val="00BF3963"/>
    <w:rsid w:val="00BF6CF1"/>
    <w:rsid w:val="00C0487F"/>
    <w:rsid w:val="00C1205A"/>
    <w:rsid w:val="00C14E73"/>
    <w:rsid w:val="00C168ED"/>
    <w:rsid w:val="00C227EF"/>
    <w:rsid w:val="00C23D9B"/>
    <w:rsid w:val="00C27905"/>
    <w:rsid w:val="00C37A5F"/>
    <w:rsid w:val="00C37E42"/>
    <w:rsid w:val="00C42430"/>
    <w:rsid w:val="00C428CC"/>
    <w:rsid w:val="00C434B5"/>
    <w:rsid w:val="00C50425"/>
    <w:rsid w:val="00C57277"/>
    <w:rsid w:val="00C70950"/>
    <w:rsid w:val="00C71429"/>
    <w:rsid w:val="00C768C3"/>
    <w:rsid w:val="00C946C7"/>
    <w:rsid w:val="00C96DD3"/>
    <w:rsid w:val="00CA33F7"/>
    <w:rsid w:val="00CC3B41"/>
    <w:rsid w:val="00CE3A14"/>
    <w:rsid w:val="00CE6823"/>
    <w:rsid w:val="00CF40FB"/>
    <w:rsid w:val="00CF7A6B"/>
    <w:rsid w:val="00D00826"/>
    <w:rsid w:val="00D0726E"/>
    <w:rsid w:val="00D10D97"/>
    <w:rsid w:val="00D27B79"/>
    <w:rsid w:val="00D50051"/>
    <w:rsid w:val="00D529BB"/>
    <w:rsid w:val="00D52C9F"/>
    <w:rsid w:val="00D563D4"/>
    <w:rsid w:val="00D569A9"/>
    <w:rsid w:val="00D65330"/>
    <w:rsid w:val="00D66BB1"/>
    <w:rsid w:val="00D9276A"/>
    <w:rsid w:val="00DA4546"/>
    <w:rsid w:val="00DA4A5F"/>
    <w:rsid w:val="00DA73EE"/>
    <w:rsid w:val="00DB15BC"/>
    <w:rsid w:val="00DB2ADF"/>
    <w:rsid w:val="00DB6772"/>
    <w:rsid w:val="00DC3D36"/>
    <w:rsid w:val="00DC5C8D"/>
    <w:rsid w:val="00DC76F5"/>
    <w:rsid w:val="00DE3D80"/>
    <w:rsid w:val="00DE72DE"/>
    <w:rsid w:val="00DF2903"/>
    <w:rsid w:val="00DF304B"/>
    <w:rsid w:val="00E168EB"/>
    <w:rsid w:val="00E22CA9"/>
    <w:rsid w:val="00E23972"/>
    <w:rsid w:val="00E27915"/>
    <w:rsid w:val="00E3070A"/>
    <w:rsid w:val="00E31E39"/>
    <w:rsid w:val="00E32863"/>
    <w:rsid w:val="00E4488A"/>
    <w:rsid w:val="00E5337D"/>
    <w:rsid w:val="00E575E3"/>
    <w:rsid w:val="00E60EDF"/>
    <w:rsid w:val="00E61F62"/>
    <w:rsid w:val="00E66C45"/>
    <w:rsid w:val="00E7563C"/>
    <w:rsid w:val="00E77D03"/>
    <w:rsid w:val="00E81FF4"/>
    <w:rsid w:val="00EA35D5"/>
    <w:rsid w:val="00EA60E3"/>
    <w:rsid w:val="00EB47A3"/>
    <w:rsid w:val="00EE1077"/>
    <w:rsid w:val="00EE63D7"/>
    <w:rsid w:val="00EF5E3E"/>
    <w:rsid w:val="00F065EC"/>
    <w:rsid w:val="00F20C2B"/>
    <w:rsid w:val="00F260B8"/>
    <w:rsid w:val="00F43A63"/>
    <w:rsid w:val="00F43A6E"/>
    <w:rsid w:val="00F53892"/>
    <w:rsid w:val="00F67908"/>
    <w:rsid w:val="00F710D3"/>
    <w:rsid w:val="00F7532B"/>
    <w:rsid w:val="00F811AA"/>
    <w:rsid w:val="00F879D9"/>
    <w:rsid w:val="00F87E30"/>
    <w:rsid w:val="00F9284F"/>
    <w:rsid w:val="00FA2398"/>
    <w:rsid w:val="00FA3BA2"/>
    <w:rsid w:val="00FA4177"/>
    <w:rsid w:val="00FA6D5F"/>
    <w:rsid w:val="00FB1E75"/>
    <w:rsid w:val="00FB2274"/>
    <w:rsid w:val="00FC02F4"/>
    <w:rsid w:val="00FC2B12"/>
    <w:rsid w:val="00FC6FA5"/>
    <w:rsid w:val="00FD5519"/>
    <w:rsid w:val="00FF373E"/>
    <w:rsid w:val="0FB53622"/>
    <w:rsid w:val="382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94C9A"/>
  <w15:docId w15:val="{9B6C6C9C-90B6-4FC9-8920-631F825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B"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hAnsi="Times New Roman" w:cs="Times New Roman"/>
      <w:kern w:val="0"/>
      <w:sz w:val="22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hAnsi="Times New Roman" w:cs="Times New Roman"/>
      <w:b/>
      <w:bCs/>
      <w:kern w:val="0"/>
      <w:sz w:val="22"/>
    </w:rPr>
  </w:style>
  <w:style w:type="paragraph" w:styleId="ab">
    <w:name w:val="Revision"/>
    <w:hidden/>
    <w:uiPriority w:val="99"/>
    <w:unhideWhenUsed/>
    <w:rsid w:val="00BF6C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380</Words>
  <Characters>2172</Characters>
  <Application>Microsoft Office Word</Application>
  <DocSecurity>0</DocSecurity>
  <Lines>18</Lines>
  <Paragraphs>5</Paragraphs>
  <ScaleCrop>false</ScaleCrop>
  <Company>china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403</cp:revision>
  <dcterms:created xsi:type="dcterms:W3CDTF">2025-12-27T13:33:00Z</dcterms:created>
  <dcterms:modified xsi:type="dcterms:W3CDTF">2025-12-29T14:23:00Z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