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华文楷体"/>
          <w:b/>
          <w:bCs/>
          <w:iCs/>
          <w:color w:val="000000"/>
          <w:sz w:val="24"/>
          <w:lang w:val="en-US" w:eastAsia="zh-CN"/>
        </w:rPr>
      </w:pPr>
      <w:r>
        <w:rPr>
          <w:rFonts w:ascii="Times New Roman" w:hAnsi="Times New Roman" w:eastAsia="华文楷体"/>
          <w:bCs/>
          <w:iCs/>
          <w:color w:val="000000"/>
          <w:sz w:val="24"/>
        </w:rPr>
        <w:t>证券代码：</w:t>
      </w:r>
      <w:r>
        <w:rPr>
          <w:rFonts w:hint="eastAsia" w:ascii="Times New Roman" w:hAnsi="Times New Roman" w:eastAsia="华文楷体"/>
          <w:bCs/>
          <w:iCs/>
          <w:color w:val="000000"/>
          <w:sz w:val="24"/>
          <w:lang w:val="en-US" w:eastAsia="zh-CN"/>
        </w:rPr>
        <w:t>603092</w:t>
      </w:r>
      <w:r>
        <w:rPr>
          <w:rFonts w:ascii="Times New Roman" w:hAnsi="Times New Roman" w:eastAsia="华文楷体"/>
          <w:bCs/>
          <w:iCs/>
          <w:color w:val="000000"/>
          <w:sz w:val="24"/>
        </w:rPr>
        <w:t xml:space="preserve">    </w:t>
      </w:r>
      <w:r>
        <w:rPr>
          <w:rFonts w:hint="eastAsia" w:ascii="Times New Roman" w:hAnsi="Times New Roman" w:eastAsia="华文楷体"/>
          <w:bCs/>
          <w:iCs/>
          <w:color w:val="000000"/>
          <w:sz w:val="24"/>
          <w:lang w:val="en-US" w:eastAsia="zh-CN"/>
        </w:rPr>
        <w:t xml:space="preserve">               </w:t>
      </w:r>
      <w:r>
        <w:rPr>
          <w:rFonts w:ascii="Times New Roman" w:hAnsi="Times New Roman" w:eastAsia="华文楷体"/>
          <w:bCs/>
          <w:iCs/>
          <w:color w:val="000000"/>
          <w:sz w:val="24"/>
        </w:rPr>
        <w:t xml:space="preserve"> </w:t>
      </w:r>
      <w:r>
        <w:rPr>
          <w:rFonts w:hint="eastAsia" w:ascii="Times New Roman" w:hAnsi="Times New Roman" w:eastAsia="华文楷体"/>
          <w:bCs/>
          <w:iCs/>
          <w:color w:val="000000"/>
          <w:sz w:val="24"/>
          <w:lang w:val="en-US" w:eastAsia="zh-CN"/>
        </w:rPr>
        <w:t xml:space="preserve"> </w:t>
      </w:r>
      <w:r>
        <w:rPr>
          <w:rFonts w:ascii="Times New Roman" w:hAnsi="Times New Roman" w:eastAsia="华文楷体"/>
          <w:bCs/>
          <w:iCs/>
          <w:color w:val="000000"/>
          <w:sz w:val="24"/>
        </w:rPr>
        <w:t xml:space="preserve">                证券简称：</w:t>
      </w:r>
      <w:r>
        <w:rPr>
          <w:rFonts w:hint="eastAsia" w:ascii="Times New Roman" w:hAnsi="Times New Roman" w:eastAsia="华文楷体"/>
          <w:bCs/>
          <w:iCs/>
          <w:color w:val="000000"/>
          <w:sz w:val="24"/>
          <w:lang w:val="en-US" w:eastAsia="zh-CN"/>
        </w:rPr>
        <w:t>德力佳</w:t>
      </w:r>
    </w:p>
    <w:p>
      <w:pPr>
        <w:ind w:firstLine="482"/>
        <w:jc w:val="center"/>
        <w:rPr>
          <w:rFonts w:ascii="Times New Roman" w:hAnsi="Times New Roman" w:eastAsia="华文楷体"/>
          <w:b/>
          <w:bCs/>
          <w:iCs/>
          <w:color w:val="000000"/>
          <w:sz w:val="24"/>
        </w:rPr>
      </w:pPr>
    </w:p>
    <w:p>
      <w:pPr>
        <w:ind w:firstLine="482"/>
        <w:jc w:val="center"/>
        <w:rPr>
          <w:rFonts w:ascii="Times New Roman" w:hAnsi="Times New Roman" w:eastAsia="华文楷体"/>
          <w:b/>
          <w:bCs/>
          <w:iCs/>
          <w:color w:val="000000"/>
          <w:sz w:val="32"/>
        </w:rPr>
      </w:pPr>
      <w:r>
        <w:rPr>
          <w:rFonts w:hint="eastAsia" w:ascii="Times New Roman" w:hAnsi="Times New Roman" w:eastAsia="华文楷体"/>
          <w:b/>
          <w:bCs/>
          <w:iCs/>
          <w:color w:val="000000"/>
          <w:sz w:val="32"/>
          <w:lang w:val="en-US" w:eastAsia="zh-CN"/>
        </w:rPr>
        <w:t>德力佳传动科技（江苏）</w:t>
      </w:r>
      <w:r>
        <w:rPr>
          <w:rFonts w:ascii="Times New Roman" w:hAnsi="Times New Roman" w:eastAsia="华文楷体"/>
          <w:b/>
          <w:bCs/>
          <w:iCs/>
          <w:color w:val="000000"/>
          <w:sz w:val="32"/>
        </w:rPr>
        <w:t>股份有限公司</w:t>
      </w:r>
    </w:p>
    <w:p>
      <w:pPr>
        <w:ind w:firstLine="482"/>
        <w:jc w:val="center"/>
        <w:rPr>
          <w:rFonts w:ascii="Times New Roman" w:hAnsi="Times New Roman" w:eastAsia="华文楷体"/>
          <w:b/>
          <w:bCs/>
          <w:iCs/>
          <w:color w:val="000000"/>
          <w:sz w:val="32"/>
        </w:rPr>
      </w:pPr>
      <w:r>
        <w:rPr>
          <w:rFonts w:ascii="Times New Roman" w:hAnsi="Times New Roman" w:eastAsia="华文楷体"/>
          <w:b/>
          <w:bCs/>
          <w:iCs/>
          <w:color w:val="000000"/>
          <w:sz w:val="32"/>
        </w:rPr>
        <w:t>投资者关系活动记录表</w:t>
      </w:r>
    </w:p>
    <w:p>
      <w:pPr>
        <w:spacing w:line="400" w:lineRule="exact"/>
        <w:ind w:firstLine="480"/>
        <w:rPr>
          <w:rFonts w:hint="default" w:ascii="Times New Roman" w:hAnsi="Times New Roman" w:eastAsia="华文楷体"/>
          <w:bCs/>
          <w:iCs/>
          <w:color w:val="000000"/>
          <w:sz w:val="24"/>
          <w:lang w:val="en-US" w:eastAsia="zh-CN"/>
        </w:rPr>
      </w:pPr>
      <w:r>
        <w:rPr>
          <w:rFonts w:ascii="Times New Roman" w:hAnsi="Times New Roman" w:eastAsia="华文楷体"/>
          <w:bCs/>
          <w:iCs/>
          <w:color w:val="000000"/>
          <w:sz w:val="24"/>
        </w:rPr>
        <w:t xml:space="preserve">                                                    编号：</w:t>
      </w:r>
      <w:r>
        <w:rPr>
          <w:rFonts w:hint="eastAsia" w:ascii="Times New Roman" w:hAnsi="Times New Roman" w:eastAsia="华文楷体"/>
          <w:bCs/>
          <w:iCs/>
          <w:color w:val="000000"/>
          <w:sz w:val="24"/>
          <w:lang w:val="en-US" w:eastAsia="zh-CN"/>
        </w:rPr>
        <w:t>2025-002</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投资者关系活动类别</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imes New Roman" w:hAnsi="Times New Roman" w:eastAsia="华文楷体"/>
                <w:bCs/>
                <w:iCs/>
                <w:color w:val="000000"/>
                <w:sz w:val="24"/>
              </w:rPr>
            </w:pP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imes New Roman" w:hAnsi="Times New Roman" w:eastAsia="华文楷体"/>
                <w:bCs/>
                <w:iCs/>
                <w:color w:val="000000"/>
                <w:sz w:val="24"/>
              </w:rPr>
            </w:pPr>
            <w:r>
              <w:rPr>
                <w:rFonts w:hint="eastAsia" w:ascii="Times New Roman" w:hAnsi="Times New Roman" w:eastAsia="华文楷体"/>
                <w:bCs/>
                <w:iCs/>
                <w:color w:val="000000"/>
                <w:sz w:val="24"/>
                <w:lang w:eastAsia="zh-CN"/>
              </w:rPr>
              <w:t>☑</w:t>
            </w:r>
            <w:r>
              <w:rPr>
                <w:rFonts w:ascii="Times New Roman" w:hAnsi="Times New Roman" w:eastAsia="华文楷体"/>
                <w:sz w:val="24"/>
              </w:rPr>
              <w:t xml:space="preserve">特定对象调研        </w:t>
            </w:r>
            <w:r>
              <w:rPr>
                <w:rFonts w:hint="eastAsia" w:ascii="Times New Roman" w:hAnsi="Times New Roman" w:eastAsia="华文楷体"/>
                <w:bCs/>
                <w:iCs/>
                <w:color w:val="000000"/>
                <w:sz w:val="24"/>
                <w:lang w:eastAsia="zh-CN"/>
              </w:rPr>
              <w:t>☑</w:t>
            </w:r>
            <w:r>
              <w:rPr>
                <w:rFonts w:ascii="Times New Roman" w:hAnsi="Times New Roman" w:eastAsia="华文楷体"/>
                <w:sz w:val="24"/>
              </w:rPr>
              <w:t>分析师会议</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w:t>
            </w:r>
            <w:r>
              <w:rPr>
                <w:rFonts w:ascii="Times New Roman" w:hAnsi="Times New Roman" w:eastAsia="华文楷体"/>
                <w:sz w:val="24"/>
              </w:rPr>
              <w:t xml:space="preserve">媒体采访            </w:t>
            </w:r>
            <w:r>
              <w:rPr>
                <w:rFonts w:ascii="Times New Roman" w:hAnsi="Times New Roman" w:eastAsia="华文楷体"/>
                <w:bCs/>
                <w:iCs/>
                <w:color w:val="000000"/>
                <w:sz w:val="24"/>
              </w:rPr>
              <w:t>□</w:t>
            </w:r>
            <w:r>
              <w:rPr>
                <w:rFonts w:ascii="Times New Roman" w:hAnsi="Times New Roman" w:eastAsia="华文楷体"/>
                <w:sz w:val="24"/>
              </w:rPr>
              <w:t>业绩说明会</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w:t>
            </w:r>
            <w:r>
              <w:rPr>
                <w:rFonts w:ascii="Times New Roman" w:hAnsi="Times New Roman" w:eastAsia="华文楷体"/>
                <w:sz w:val="24"/>
              </w:rPr>
              <w:t xml:space="preserve">新闻发布会          </w:t>
            </w:r>
            <w:r>
              <w:rPr>
                <w:rFonts w:ascii="Times New Roman" w:hAnsi="Times New Roman" w:eastAsia="华文楷体"/>
                <w:bCs/>
                <w:iCs/>
                <w:color w:val="000000"/>
                <w:sz w:val="24"/>
              </w:rPr>
              <w:t>□</w:t>
            </w:r>
            <w:r>
              <w:rPr>
                <w:rFonts w:ascii="Times New Roman" w:hAnsi="Times New Roman" w:eastAsia="华文楷体"/>
                <w:sz w:val="24"/>
              </w:rPr>
              <w:t>路演活动</w:t>
            </w:r>
          </w:p>
          <w:p>
            <w:pPr>
              <w:keepNext w:val="0"/>
              <w:keepLines w:val="0"/>
              <w:pageBreakBefore w:val="0"/>
              <w:widowControl w:val="0"/>
              <w:tabs>
                <w:tab w:val="left" w:pos="3045"/>
                <w:tab w:val="center" w:pos="3199"/>
              </w:tabs>
              <w:kinsoku/>
              <w:wordWrap/>
              <w:overflowPunct/>
              <w:topLinePunct w:val="0"/>
              <w:autoSpaceDE/>
              <w:autoSpaceDN/>
              <w:bidi w:val="0"/>
              <w:adjustRightInd w:val="0"/>
              <w:snapToGrid w:val="0"/>
              <w:spacing w:line="360" w:lineRule="auto"/>
              <w:textAlignment w:val="auto"/>
              <w:rPr>
                <w:rFonts w:ascii="Times New Roman" w:hAnsi="Times New Roman" w:eastAsia="华文楷体"/>
                <w:bCs/>
                <w:iCs/>
                <w:color w:val="000000"/>
                <w:sz w:val="24"/>
              </w:rPr>
            </w:pPr>
            <w:r>
              <w:rPr>
                <w:rFonts w:hint="eastAsia" w:ascii="Times New Roman" w:hAnsi="Times New Roman" w:eastAsia="华文楷体"/>
                <w:bCs/>
                <w:iCs/>
                <w:color w:val="000000"/>
                <w:sz w:val="24"/>
                <w:lang w:eastAsia="zh-CN"/>
              </w:rPr>
              <w:t>☑</w:t>
            </w:r>
            <w:r>
              <w:rPr>
                <w:rFonts w:ascii="Times New Roman" w:hAnsi="Times New Roman" w:eastAsia="华文楷体"/>
                <w:sz w:val="24"/>
              </w:rPr>
              <w:t>现场参观</w:t>
            </w:r>
            <w:r>
              <w:rPr>
                <w:rFonts w:ascii="Times New Roman" w:hAnsi="Times New Roman" w:eastAsia="华文楷体"/>
                <w:bCs/>
                <w:iCs/>
                <w:color w:val="000000"/>
                <w:sz w:val="24"/>
              </w:rPr>
              <w:tab/>
            </w:r>
          </w:p>
          <w:p>
            <w:pPr>
              <w:keepNext w:val="0"/>
              <w:keepLines w:val="0"/>
              <w:pageBreakBefore w:val="0"/>
              <w:widowControl w:val="0"/>
              <w:tabs>
                <w:tab w:val="center" w:pos="3199"/>
              </w:tabs>
              <w:kinsoku/>
              <w:wordWrap/>
              <w:overflowPunct/>
              <w:topLinePunct w:val="0"/>
              <w:autoSpaceDE/>
              <w:autoSpaceDN/>
              <w:bidi w:val="0"/>
              <w:adjustRightInd w:val="0"/>
              <w:snapToGrid w:val="0"/>
              <w:spacing w:line="360" w:lineRule="auto"/>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w:t>
            </w:r>
            <w:r>
              <w:rPr>
                <w:rFonts w:ascii="Times New Roman" w:hAnsi="Times New Roman" w:eastAsia="华文楷体"/>
                <w:sz w:val="24"/>
              </w:rPr>
              <w:t>其他 （</w:t>
            </w:r>
            <w:r>
              <w:rPr>
                <w:rFonts w:ascii="Times New Roman" w:hAnsi="Times New Roman" w:eastAsia="华文楷体"/>
                <w:sz w:val="24"/>
                <w:u w:val="single"/>
              </w:rPr>
              <w:t>请文字说明其他活动内容）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参与单位名称及人员姓名</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华创证券：吴含，广发基金：徐明德，泉果基金：罗开澜，华泰证券：倪正洋、李倩倩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时间</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2025年12月26日15:00-16:00；2025年12月29日15:00-16:00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地点</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德力佳传动科技（江苏）股份有限公司会议室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上市公司接待人员姓名</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董事长、总经理：刘建国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董事、副总经理、董事会秘书：孔金凤</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财务总监：李常平</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证券事务代表：朱灵芝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投资者关系活动主要内容介绍</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imes New Roman" w:hAnsi="Times New Roman" w:eastAsia="华文楷体"/>
                <w:bCs/>
                <w:iCs/>
                <w:color w:val="000000"/>
                <w:sz w:val="24"/>
              </w:rPr>
            </w:pPr>
          </w:p>
        </w:tc>
        <w:tc>
          <w:tcPr>
            <w:tcW w:w="6614"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textAlignment w:val="auto"/>
              <w:rPr>
                <w:rFonts w:hint="eastAsia" w:ascii="Times New Roman" w:hAnsi="Times New Roman" w:eastAsia="华文楷体"/>
                <w:b/>
                <w:bCs w:val="0"/>
                <w:iCs/>
                <w:color w:val="000000"/>
                <w:sz w:val="24"/>
                <w:lang w:val="en-US" w:eastAsia="zh-CN"/>
              </w:rPr>
            </w:pPr>
            <w:bookmarkStart w:id="0" w:name="OLE_LINK1"/>
            <w:r>
              <w:rPr>
                <w:rFonts w:hint="eastAsia" w:ascii="Times New Roman" w:hAnsi="Times New Roman" w:eastAsia="华文楷体"/>
                <w:b/>
                <w:bCs w:val="0"/>
                <w:iCs/>
                <w:color w:val="000000"/>
                <w:sz w:val="24"/>
                <w:lang w:val="en-US" w:eastAsia="zh-CN"/>
              </w:rPr>
              <w:t>问题1：2026年的风电行业市场情况如何？</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textAlignment w:val="auto"/>
              <w:rPr>
                <w:rFonts w:hint="eastAsia"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答：</w:t>
            </w:r>
            <w:bookmarkEnd w:id="0"/>
            <w:r>
              <w:rPr>
                <w:rFonts w:hint="eastAsia" w:ascii="Times New Roman" w:hAnsi="Times New Roman" w:eastAsia="华文楷体"/>
                <w:bCs/>
                <w:iCs/>
                <w:color w:val="000000"/>
                <w:sz w:val="24"/>
                <w:lang w:val="en-US" w:eastAsia="zh-CN"/>
              </w:rPr>
              <w:t>从下游主机厂商招标中标的数据来看，海上风电加速发展，成为重要增长点，海外市场拓展步伐加快，中国风机全球化布局深化，行业集中度持续提升，龙头企业优势巩固。公司一直保持着全面高节奏生产，也反映出对市场需求的积极预期与产能准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textAlignment w:val="auto"/>
              <w:rPr>
                <w:rFonts w:hint="eastAsia" w:ascii="Times New Roman" w:hAnsi="Times New Roman" w:eastAsia="华文楷体"/>
                <w:bCs/>
                <w:iCs/>
                <w:color w:val="000000"/>
                <w:sz w:val="24"/>
                <w:lang w:val="en-US" w:eastAsia="zh-CN"/>
              </w:rPr>
            </w:pPr>
            <w:bookmarkStart w:id="1" w:name="OLE_LINK8"/>
            <w:r>
              <w:rPr>
                <w:rFonts w:hint="eastAsia" w:ascii="Times New Roman" w:hAnsi="Times New Roman" w:eastAsia="华文楷体"/>
                <w:b/>
                <w:bCs w:val="0"/>
                <w:iCs/>
                <w:color w:val="000000"/>
                <w:sz w:val="24"/>
                <w:lang w:val="en-US" w:eastAsia="zh-CN"/>
              </w:rPr>
              <w:t>问题2：随着市场需求增大，公司怎么考虑未来市场份额？是否会进行进一步扩张？</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textAlignment w:val="auto"/>
              <w:rPr>
                <w:rFonts w:hint="default"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答：顺应</w:t>
            </w:r>
            <w:r>
              <w:rPr>
                <w:rFonts w:hint="eastAsia" w:ascii="Times New Roman" w:hAnsi="Times New Roman" w:eastAsia="华文楷体"/>
                <w:bCs/>
                <w:iCs/>
                <w:color w:val="000000"/>
                <w:sz w:val="24"/>
              </w:rPr>
              <w:t>下游</w:t>
            </w:r>
            <w:r>
              <w:rPr>
                <w:rFonts w:hint="eastAsia" w:ascii="Times New Roman" w:hAnsi="Times New Roman" w:eastAsia="华文楷体"/>
                <w:bCs/>
                <w:iCs/>
                <w:color w:val="000000"/>
                <w:sz w:val="24"/>
                <w:lang w:val="en-US" w:eastAsia="zh-CN"/>
              </w:rPr>
              <w:t>风电</w:t>
            </w:r>
            <w:r>
              <w:rPr>
                <w:rFonts w:hint="eastAsia" w:ascii="Times New Roman" w:hAnsi="Times New Roman" w:eastAsia="华文楷体"/>
                <w:bCs/>
                <w:iCs/>
                <w:color w:val="000000"/>
                <w:sz w:val="24"/>
              </w:rPr>
              <w:t>整机厂商集中度增强，具备技术、质量、成本综合优势的头部</w:t>
            </w:r>
            <w:r>
              <w:rPr>
                <w:rFonts w:hint="eastAsia" w:ascii="Times New Roman" w:hAnsi="Times New Roman" w:eastAsia="华文楷体"/>
                <w:bCs/>
                <w:iCs/>
                <w:color w:val="000000"/>
                <w:sz w:val="24"/>
                <w:lang w:val="en-US" w:eastAsia="zh-CN"/>
              </w:rPr>
              <w:t>风电</w:t>
            </w:r>
            <w:r>
              <w:rPr>
                <w:rFonts w:hint="eastAsia" w:ascii="Times New Roman" w:hAnsi="Times New Roman" w:eastAsia="华文楷体"/>
                <w:bCs/>
                <w:iCs/>
                <w:color w:val="000000"/>
                <w:sz w:val="24"/>
              </w:rPr>
              <w:t>齿轮箱企业将获得更多订单份额。公司作为行业领先者，有望持续受益于这一趋势。</w:t>
            </w:r>
            <w:r>
              <w:rPr>
                <w:rFonts w:hint="eastAsia" w:ascii="Times New Roman" w:hAnsi="Times New Roman" w:eastAsia="华文楷体"/>
                <w:bCs/>
                <w:iCs/>
                <w:color w:val="000000"/>
                <w:sz w:val="24"/>
                <w:lang w:val="en-US" w:eastAsia="zh-CN"/>
              </w:rPr>
              <w:t>同时，欧洲传统风电齿轮箱厂商竞争力相对下降，为公司进入国际高端市场、承接海外企业订单提供了窗口期。公司将通过技术对标、本地化服务与灵活合作模式，加快海外市场渗透。</w:t>
            </w:r>
            <w:bookmarkEnd w:id="1"/>
            <w:r>
              <w:rPr>
                <w:rFonts w:hint="eastAsia" w:ascii="Times New Roman" w:hAnsi="Times New Roman" w:eastAsia="华文楷体"/>
                <w:bCs/>
                <w:iCs/>
                <w:color w:val="000000"/>
                <w:sz w:val="24"/>
                <w:lang w:val="en-US" w:eastAsia="zh-CN"/>
              </w:rPr>
              <w:t>公司将</w:t>
            </w:r>
            <w:r>
              <w:rPr>
                <w:rFonts w:hint="eastAsia" w:ascii="Times New Roman" w:hAnsi="Times New Roman" w:eastAsia="华文楷体"/>
                <w:bCs/>
                <w:iCs/>
                <w:color w:val="000000"/>
                <w:sz w:val="24"/>
              </w:rPr>
              <w:t>在完成当前产能布局的基础上，通过精益生产、智能化改造提升生产效率，充分释放产能弹性。</w:t>
            </w:r>
            <w:r>
              <w:rPr>
                <w:rFonts w:hint="eastAsia" w:ascii="Times New Roman" w:hAnsi="Times New Roman" w:eastAsia="华文楷体"/>
                <w:bCs/>
                <w:iCs/>
                <w:color w:val="000000"/>
                <w:sz w:val="24"/>
                <w:lang w:val="en-US" w:eastAsia="zh-CN"/>
              </w:rPr>
              <w:t>同时，</w:t>
            </w:r>
            <w:r>
              <w:rPr>
                <w:rFonts w:hint="eastAsia" w:ascii="Times New Roman" w:hAnsi="Times New Roman" w:eastAsia="华文楷体"/>
                <w:bCs/>
                <w:iCs/>
                <w:color w:val="000000"/>
                <w:sz w:val="24"/>
              </w:rPr>
              <w:t>公司将在科学评估市场需求节奏的基础上，动态规划并有序推进新产能建设，重点聚焦陆上大兆瓦机型、海上风电及海外高潜力市场所需产品的产能布局，以技术前瞻、交付可靠、服务本地化为核心，构建更敏捷、更具韧性的供应链体系，为持续提升全球市场份额奠定坚实基础。</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textAlignment w:val="auto"/>
              <w:rPr>
                <w:rFonts w:hint="default" w:ascii="Times New Roman" w:hAnsi="Times New Roman" w:eastAsia="华文楷体"/>
                <w:bCs/>
                <w:iCs/>
                <w:color w:val="000000"/>
                <w:sz w:val="24"/>
                <w:lang w:val="en-US" w:eastAsia="zh-CN"/>
              </w:rPr>
            </w:pPr>
            <w:bookmarkStart w:id="2" w:name="OLE_LINK9"/>
            <w:r>
              <w:rPr>
                <w:rFonts w:hint="eastAsia" w:ascii="Times New Roman" w:hAnsi="Times New Roman" w:eastAsia="华文楷体"/>
                <w:b/>
                <w:bCs w:val="0"/>
                <w:iCs/>
                <w:color w:val="000000"/>
                <w:sz w:val="24"/>
                <w:lang w:val="en-US" w:eastAsia="zh-CN"/>
              </w:rPr>
              <w:t>问题3：为什么欧洲那边会有新的市场机会释放？</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textAlignment w:val="auto"/>
              <w:rPr>
                <w:rFonts w:hint="default" w:ascii="Times New Roman" w:hAnsi="Times New Roman" w:eastAsia="华文楷体"/>
                <w:bCs/>
                <w:iCs/>
                <w:color w:val="000000"/>
                <w:sz w:val="24"/>
                <w:lang w:val="en-US"/>
              </w:rPr>
            </w:pPr>
            <w:r>
              <w:rPr>
                <w:rFonts w:hint="eastAsia" w:ascii="Times New Roman" w:hAnsi="Times New Roman" w:eastAsia="华文楷体"/>
                <w:bCs/>
                <w:iCs/>
                <w:color w:val="000000"/>
                <w:sz w:val="24"/>
                <w:lang w:val="en-US" w:eastAsia="zh-CN"/>
              </w:rPr>
              <w:t>答：</w:t>
            </w:r>
            <w:r>
              <w:rPr>
                <w:rFonts w:hint="default" w:ascii="Times New Roman" w:hAnsi="Times New Roman" w:eastAsia="华文楷体"/>
                <w:bCs/>
                <w:iCs/>
                <w:color w:val="000000"/>
                <w:sz w:val="24"/>
              </w:rPr>
              <w:t>欧洲风电整机厂商为维持竞争力与生存能力，正逐步将供应链向中国倾斜，这已成为其战略层面的必然选择，只是推进速度存在差异，整体趋势已不可逆转。中国供应链在多个行业成熟后，逐步进入全球市场并占据重要地位，这既是产业发展的自然趋势，也体现了中国制造在成本、效率和规模上的综合优势。若欧洲主机厂商仍过度依赖本土供应链，其市场竞争力恐将进一步削弱，面临更大的份额流失风险。</w:t>
            </w:r>
            <w:bookmarkEnd w:id="2"/>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textAlignment w:val="auto"/>
              <w:rPr>
                <w:rFonts w:hint="default" w:ascii="Times New Roman" w:hAnsi="Times New Roman" w:eastAsia="华文楷体"/>
                <w:bCs/>
                <w:iCs/>
                <w:color w:val="000000"/>
                <w:sz w:val="24"/>
                <w:lang w:val="en-US" w:eastAsia="zh-CN"/>
              </w:rPr>
            </w:pPr>
            <w:bookmarkStart w:id="3" w:name="OLE_LINK2"/>
            <w:bookmarkStart w:id="4" w:name="OLE_LINK10"/>
            <w:r>
              <w:rPr>
                <w:rFonts w:hint="eastAsia" w:ascii="Times New Roman" w:hAnsi="Times New Roman" w:eastAsia="华文楷体"/>
                <w:b/>
                <w:bCs w:val="0"/>
                <w:iCs/>
                <w:color w:val="000000"/>
                <w:sz w:val="24"/>
                <w:lang w:val="en-US" w:eastAsia="zh-CN"/>
              </w:rPr>
              <w:t>问题4：在目前公司产能比较紧的情况下，公司对于客户取舍方面是怎么考虑的？</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textAlignment w:val="auto"/>
              <w:rPr>
                <w:rFonts w:hint="eastAsia"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答：</w:t>
            </w:r>
            <w:bookmarkEnd w:id="3"/>
            <w:r>
              <w:rPr>
                <w:rFonts w:hint="default" w:ascii="Times New Roman" w:hAnsi="Times New Roman" w:eastAsia="华文楷体"/>
                <w:bCs/>
                <w:iCs/>
                <w:color w:val="000000"/>
                <w:sz w:val="24"/>
              </w:rPr>
              <w:t>在产能紧张阶段，公司采取分层客户策略：</w:t>
            </w:r>
            <w:bookmarkStart w:id="13" w:name="_GoBack"/>
            <w:bookmarkEnd w:id="13"/>
            <w:r>
              <w:rPr>
                <w:rFonts w:hint="default" w:ascii="Times New Roman" w:hAnsi="Times New Roman" w:eastAsia="华文楷体"/>
                <w:bCs/>
                <w:iCs/>
                <w:color w:val="000000"/>
                <w:sz w:val="24"/>
              </w:rPr>
              <w:t>保障长期战略客户的稳定交付，同时积极培育潜力客户，并加快拓展海外市场，以在维护运营基本盘的同时，为未来持续增长和客户结构多元化奠定基础。</w:t>
            </w:r>
            <w:bookmarkEnd w:id="4"/>
            <w:r>
              <w:rPr>
                <w:rFonts w:hint="eastAsia" w:ascii="Times New Roman" w:hAnsi="Times New Roman" w:eastAsia="华文楷体"/>
                <w:bCs/>
                <w:iCs/>
                <w:color w:val="000000"/>
                <w:sz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textAlignment w:val="auto"/>
              <w:rPr>
                <w:rFonts w:hint="eastAsia" w:ascii="Times New Roman" w:hAnsi="Times New Roman" w:eastAsia="华文楷体"/>
                <w:b/>
                <w:bCs w:val="0"/>
                <w:iCs/>
                <w:color w:val="000000"/>
                <w:sz w:val="24"/>
                <w:lang w:val="en-US" w:eastAsia="zh-CN"/>
              </w:rPr>
            </w:pPr>
            <w:bookmarkStart w:id="5" w:name="OLE_LINK11"/>
            <w:r>
              <w:rPr>
                <w:rFonts w:hint="eastAsia" w:ascii="Times New Roman" w:hAnsi="Times New Roman" w:eastAsia="华文楷体"/>
                <w:b/>
                <w:bCs w:val="0"/>
                <w:iCs/>
                <w:color w:val="000000"/>
                <w:sz w:val="24"/>
                <w:lang w:val="en-US" w:eastAsia="zh-CN"/>
              </w:rPr>
              <w:t>问题5：公司2026年风电齿轮箱价格会上涨吗？</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textAlignment w:val="auto"/>
              <w:rPr>
                <w:rFonts w:hint="eastAsia" w:ascii="Times New Roman" w:hAnsi="Times New Roman" w:eastAsia="华文楷体"/>
                <w:b w:val="0"/>
                <w:bCs/>
                <w:iCs/>
                <w:color w:val="000000"/>
                <w:sz w:val="24"/>
                <w:lang w:val="en-US" w:eastAsia="zh-CN"/>
              </w:rPr>
            </w:pPr>
            <w:r>
              <w:rPr>
                <w:rFonts w:hint="eastAsia" w:ascii="Times New Roman" w:hAnsi="Times New Roman" w:eastAsia="华文楷体"/>
                <w:b w:val="0"/>
                <w:bCs/>
                <w:iCs/>
                <w:color w:val="000000"/>
                <w:sz w:val="24"/>
                <w:lang w:val="en-US" w:eastAsia="zh-CN"/>
              </w:rPr>
              <w:t>答：</w:t>
            </w:r>
            <w:bookmarkEnd w:id="5"/>
            <w:r>
              <w:rPr>
                <w:rFonts w:hint="eastAsia" w:ascii="Times New Roman" w:hAnsi="Times New Roman" w:eastAsia="华文楷体"/>
                <w:bCs/>
                <w:iCs/>
                <w:color w:val="000000"/>
                <w:sz w:val="24"/>
              </w:rPr>
              <w:t>预计2026年风电齿轮箱市场价格将整体保持平稳。行业已逐步走出前期因技术快速迭代与激烈竞争导致的价格下行阶段，目前进入相对稳定的成本与价格博弈期。在当前市场环境下，依靠产品提价并不现实。公司将更多通过技术优化、供应链协同、运营提效等方式持续推动降本增效，在稳定毛利水平的同时，进一步拓展利润规模，以此应对市场竞争并支持长期发展。</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textAlignment w:val="auto"/>
              <w:rPr>
                <w:rFonts w:hint="default" w:ascii="Times New Roman" w:hAnsi="Times New Roman" w:eastAsia="华文楷体"/>
                <w:b/>
                <w:bCs w:val="0"/>
                <w:iCs/>
                <w:color w:val="000000"/>
                <w:sz w:val="24"/>
                <w:lang w:val="en-US" w:eastAsia="zh-CN"/>
              </w:rPr>
            </w:pPr>
            <w:bookmarkStart w:id="6" w:name="OLE_LINK12"/>
            <w:bookmarkStart w:id="7" w:name="OLE_LINK3"/>
            <w:r>
              <w:rPr>
                <w:rFonts w:hint="eastAsia" w:ascii="Times New Roman" w:hAnsi="Times New Roman" w:eastAsia="华文楷体"/>
                <w:b/>
                <w:bCs w:val="0"/>
                <w:iCs/>
                <w:color w:val="000000"/>
                <w:sz w:val="24"/>
                <w:lang w:val="en-US" w:eastAsia="zh-CN"/>
              </w:rPr>
              <w:t>问题6：部分下游主机厂商自研，这会成为趋势吗？</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textAlignment w:val="auto"/>
              <w:rPr>
                <w:rFonts w:hint="default" w:ascii="Times New Roman" w:hAnsi="Times New Roman" w:eastAsia="华文楷体"/>
                <w:bCs/>
                <w:iCs/>
                <w:color w:val="000000"/>
                <w:sz w:val="24"/>
              </w:rPr>
            </w:pPr>
            <w:r>
              <w:rPr>
                <w:rFonts w:hint="eastAsia" w:ascii="Times New Roman" w:hAnsi="Times New Roman" w:eastAsia="华文楷体"/>
                <w:b w:val="0"/>
                <w:bCs/>
                <w:iCs/>
                <w:color w:val="000000"/>
                <w:sz w:val="24"/>
                <w:lang w:val="en-US" w:eastAsia="zh-CN"/>
              </w:rPr>
              <w:t>答：</w:t>
            </w:r>
            <w:r>
              <w:rPr>
                <w:rFonts w:hint="default" w:ascii="Times New Roman" w:hAnsi="Times New Roman" w:eastAsia="华文楷体"/>
                <w:bCs/>
                <w:iCs/>
                <w:color w:val="000000"/>
                <w:sz w:val="24"/>
              </w:rPr>
              <w:t>近年来，部分下游主机厂商出于供应链自主或成本控制的考虑，尝试自研风电齿轮箱。这一现象虽在特定阶段出现，但从技术难度、产业链规律和商业可行性来看，我们认为短期内难以成为行业主流趋势，主要基于以下原因：</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textAlignment w:val="auto"/>
              <w:rPr>
                <w:rFonts w:hint="default" w:ascii="Times New Roman" w:hAnsi="Times New Roman" w:eastAsia="华文楷体"/>
                <w:bCs/>
                <w:iCs/>
                <w:color w:val="000000"/>
                <w:sz w:val="24"/>
              </w:rPr>
            </w:pPr>
            <w:r>
              <w:rPr>
                <w:rFonts w:hint="default" w:ascii="Times New Roman" w:hAnsi="Times New Roman" w:eastAsia="华文楷体"/>
                <w:bCs/>
                <w:iCs/>
                <w:color w:val="000000"/>
                <w:sz w:val="24"/>
              </w:rPr>
              <w:t>风电齿轮箱是技术密集与工艺复杂的精密传动设备，涉及材料、热处理、齿轮设计、系统集成及长期可靠性验证等多重高门槛环节，需要长期的技术沉淀和持续迭代，并非短期投入即可突破。</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textAlignment w:val="auto"/>
              <w:rPr>
                <w:rFonts w:hint="default" w:ascii="Times New Roman" w:hAnsi="Times New Roman" w:eastAsia="华文楷体"/>
                <w:b w:val="0"/>
                <w:bCs/>
                <w:iCs/>
                <w:color w:val="000000"/>
                <w:sz w:val="24"/>
                <w:lang w:val="en-US" w:eastAsia="zh-CN"/>
              </w:rPr>
            </w:pPr>
            <w:r>
              <w:rPr>
                <w:rFonts w:hint="default" w:ascii="Times New Roman" w:hAnsi="Times New Roman" w:eastAsia="华文楷体"/>
                <w:bCs/>
                <w:iCs/>
                <w:color w:val="000000"/>
                <w:sz w:val="24"/>
              </w:rPr>
              <w:t>第二，从历史发展来看，虽然自研尝试屡有出现，但成功实现规模化、可靠且具备成本竞争力的案例极少。齿轮箱的研发制造需要完整的工艺体系、高端装备和跨学科人才团队，其投入产出周期长、风险高，与主机厂商追求整机性能与市场响应速度的核心战略存在一定冲突。</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textAlignment w:val="auto"/>
              <w:rPr>
                <w:rFonts w:hint="default" w:ascii="Times New Roman" w:hAnsi="Times New Roman" w:eastAsia="华文楷体"/>
                <w:b w:val="0"/>
                <w:bCs/>
                <w:iCs/>
                <w:color w:val="000000"/>
                <w:sz w:val="24"/>
                <w:lang w:val="en-US" w:eastAsia="zh-CN"/>
              </w:rPr>
            </w:pPr>
            <w:r>
              <w:rPr>
                <w:rFonts w:hint="default" w:ascii="Times New Roman" w:hAnsi="Times New Roman" w:eastAsia="华文楷体"/>
                <w:bCs/>
                <w:iCs/>
                <w:color w:val="000000"/>
                <w:sz w:val="24"/>
              </w:rPr>
              <w:t>第三，当前风机大型化、海上化趋势加速，对齿轮箱的可靠性、轻量化及环境适应性提出更严苛要求，技术迭代速度进一步加快。专业化分工有利于产业链各环节聚焦核心优势，实现整体效能提升。主机厂商与专业齿轮箱企业协同创新、深度绑定，仍是更高效、更可靠的发展路径。</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textAlignment w:val="auto"/>
              <w:rPr>
                <w:rFonts w:hint="default" w:ascii="Times New Roman" w:hAnsi="Times New Roman" w:eastAsia="华文楷体"/>
                <w:b w:val="0"/>
                <w:bCs/>
                <w:iCs/>
                <w:color w:val="000000"/>
                <w:sz w:val="24"/>
                <w:lang w:val="en-US" w:eastAsia="zh-CN"/>
              </w:rPr>
            </w:pPr>
            <w:r>
              <w:rPr>
                <w:rFonts w:hint="default" w:ascii="Times New Roman" w:hAnsi="Times New Roman" w:eastAsia="华文楷体"/>
                <w:bCs/>
                <w:iCs/>
                <w:color w:val="000000"/>
                <w:sz w:val="24"/>
              </w:rPr>
              <w:t>面对这一行业动态，公司将进一步巩固技术领先优势，持续投入研发，尤其在超大兆瓦、海上及超长寿命齿轮箱领域保持迭代速度，同时深化与主机客户的协同设计、联合测试与供应链融合，以更高性能、更优成本、更可靠交付的能力，强化为客户创造价值的不可替代性，牢牢把握市场主导权。</w:t>
            </w:r>
            <w:bookmarkEnd w:id="6"/>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textAlignment w:val="auto"/>
              <w:rPr>
                <w:rFonts w:hint="eastAsia" w:ascii="Times New Roman" w:hAnsi="Times New Roman" w:eastAsia="华文楷体"/>
                <w:b/>
                <w:bCs w:val="0"/>
                <w:iCs/>
                <w:color w:val="000000"/>
                <w:sz w:val="24"/>
                <w:lang w:val="en-US" w:eastAsia="zh-CN"/>
              </w:rPr>
            </w:pPr>
            <w:bookmarkStart w:id="8" w:name="OLE_LINK13"/>
            <w:r>
              <w:rPr>
                <w:rFonts w:hint="eastAsia" w:ascii="Times New Roman" w:hAnsi="Times New Roman" w:eastAsia="华文楷体"/>
                <w:b/>
                <w:bCs w:val="0"/>
                <w:iCs/>
                <w:color w:val="000000"/>
                <w:sz w:val="24"/>
                <w:lang w:val="en-US" w:eastAsia="zh-CN"/>
              </w:rPr>
              <w:t>问题7：公司有考虑新增其他传动产品吗？</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textAlignment w:val="auto"/>
              <w:rPr>
                <w:rFonts w:hint="default" w:ascii="Times New Roman" w:hAnsi="Times New Roman" w:eastAsia="华文楷体"/>
                <w:bCs/>
                <w:iCs/>
                <w:color w:val="000000"/>
                <w:sz w:val="24"/>
              </w:rPr>
            </w:pPr>
            <w:r>
              <w:rPr>
                <w:rFonts w:hint="eastAsia" w:ascii="Times New Roman" w:hAnsi="Times New Roman" w:eastAsia="华文楷体"/>
                <w:b w:val="0"/>
                <w:bCs/>
                <w:iCs/>
                <w:color w:val="000000"/>
                <w:sz w:val="24"/>
                <w:lang w:val="en-US" w:eastAsia="zh-CN"/>
              </w:rPr>
              <w:t>答：</w:t>
            </w:r>
            <w:r>
              <w:rPr>
                <w:rFonts w:hint="default" w:ascii="Times New Roman" w:hAnsi="Times New Roman" w:eastAsia="华文楷体"/>
                <w:bCs/>
                <w:iCs/>
                <w:color w:val="000000"/>
                <w:sz w:val="24"/>
              </w:rPr>
              <w:t>公司目前战略重心仍将聚焦于风电齿轮箱领域，主要基于以下考虑：</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textAlignment w:val="auto"/>
              <w:rPr>
                <w:rFonts w:hint="default" w:ascii="Times New Roman" w:hAnsi="Times New Roman" w:eastAsia="华文楷体"/>
                <w:bCs/>
                <w:iCs/>
                <w:color w:val="000000"/>
                <w:sz w:val="24"/>
              </w:rPr>
            </w:pPr>
            <w:r>
              <w:rPr>
                <w:rFonts w:hint="default" w:ascii="Times New Roman" w:hAnsi="Times New Roman" w:eastAsia="华文楷体"/>
                <w:bCs/>
                <w:iCs/>
                <w:color w:val="000000"/>
                <w:sz w:val="24"/>
              </w:rPr>
              <w:t>当前风电齿轮箱市场仍有可观的发展空间，尤其在海上风电、大兆瓦机型及国际市场的需求持续增长下，公司凭借技术积累与市场基础，仍有显著的份额提升潜力。该业务目前保持着较好的盈利水平与现金流贡献，是公司持续发展的核心支柱。</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textAlignment w:val="auto"/>
              <w:rPr>
                <w:rFonts w:hint="eastAsia" w:ascii="Times New Roman" w:hAnsi="Times New Roman" w:eastAsia="华文楷体"/>
                <w:b w:val="0"/>
                <w:bCs/>
                <w:iCs/>
                <w:color w:val="000000"/>
                <w:sz w:val="24"/>
                <w:lang w:val="en-US" w:eastAsia="zh-CN"/>
              </w:rPr>
            </w:pPr>
            <w:r>
              <w:rPr>
                <w:rFonts w:hint="default" w:ascii="Times New Roman" w:hAnsi="Times New Roman" w:eastAsia="华文楷体"/>
                <w:bCs/>
                <w:iCs/>
                <w:color w:val="000000"/>
                <w:sz w:val="24"/>
              </w:rPr>
              <w:t>第二，作为技术密集型产业，风电齿轮箱的研发、工艺与供应链体系具有较高门槛，公司将继续集中资源巩固在该领域的领先优势，通过持续创新与产能优化提升竞争力，进一步扩大市场份额，巩固行业地位。</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textAlignment w:val="auto"/>
              <w:rPr>
                <w:rFonts w:hint="default" w:ascii="Times New Roman" w:hAnsi="Times New Roman" w:eastAsia="华文楷体"/>
                <w:bCs/>
                <w:iCs/>
                <w:color w:val="000000"/>
                <w:sz w:val="24"/>
              </w:rPr>
            </w:pPr>
            <w:r>
              <w:rPr>
                <w:rFonts w:hint="default" w:ascii="Times New Roman" w:hAnsi="Times New Roman" w:eastAsia="华文楷体"/>
                <w:bCs/>
                <w:iCs/>
                <w:color w:val="000000"/>
                <w:sz w:val="24"/>
              </w:rPr>
              <w:t>第三，在充分把握风电齿轮箱市场机遇、形成稳定基本盘的基础上，公司才会审慎评估相关传动产品领域的延伸可能，确保任何新业务的拓展均具备技术协同与市场竞争力。</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textAlignment w:val="auto"/>
              <w:rPr>
                <w:rFonts w:hint="eastAsia" w:ascii="Times New Roman" w:hAnsi="Times New Roman" w:eastAsia="华文楷体"/>
                <w:b w:val="0"/>
                <w:bCs/>
                <w:iCs/>
                <w:color w:val="000000"/>
                <w:sz w:val="24"/>
                <w:lang w:val="en-US" w:eastAsia="zh-CN"/>
              </w:rPr>
            </w:pPr>
            <w:r>
              <w:rPr>
                <w:rFonts w:hint="default" w:ascii="Times New Roman" w:hAnsi="Times New Roman" w:eastAsia="华文楷体"/>
                <w:bCs/>
                <w:iCs/>
                <w:color w:val="000000"/>
                <w:sz w:val="24"/>
              </w:rPr>
              <w:t>综上，公司坚持</w:t>
            </w:r>
            <w:r>
              <w:rPr>
                <w:rFonts w:hint="eastAsia" w:ascii="宋体" w:hAnsi="宋体" w:eastAsia="宋体" w:cs="宋体"/>
                <w:bCs/>
                <w:iCs/>
                <w:color w:val="000000"/>
                <w:sz w:val="24"/>
              </w:rPr>
              <w:t>“</w:t>
            </w:r>
            <w:r>
              <w:rPr>
                <w:rFonts w:hint="default" w:ascii="Times New Roman" w:hAnsi="Times New Roman" w:eastAsia="华文楷体"/>
                <w:bCs/>
                <w:iCs/>
                <w:color w:val="000000"/>
                <w:sz w:val="24"/>
              </w:rPr>
              <w:t>先深耕、再拓展</w:t>
            </w:r>
            <w:r>
              <w:rPr>
                <w:rFonts w:hint="eastAsia" w:ascii="宋体" w:hAnsi="宋体" w:eastAsia="宋体" w:cs="宋体"/>
                <w:bCs/>
                <w:iCs/>
                <w:color w:val="000000"/>
                <w:sz w:val="24"/>
              </w:rPr>
              <w:t>”</w:t>
            </w:r>
            <w:r>
              <w:rPr>
                <w:rFonts w:hint="default" w:ascii="Times New Roman" w:hAnsi="Times New Roman" w:eastAsia="华文楷体"/>
                <w:bCs/>
                <w:iCs/>
                <w:color w:val="000000"/>
                <w:sz w:val="24"/>
              </w:rPr>
              <w:t>的发展逻辑，现阶段将全力做强风电齿轮箱业务，为长远发展打下坚实基础。</w:t>
            </w:r>
            <w:bookmarkEnd w:id="7"/>
            <w:bookmarkEnd w:id="8"/>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textAlignment w:val="auto"/>
              <w:rPr>
                <w:rFonts w:hint="eastAsia" w:ascii="Times New Roman" w:hAnsi="Times New Roman" w:eastAsia="华文楷体"/>
                <w:b/>
                <w:bCs w:val="0"/>
                <w:iCs/>
                <w:color w:val="000000"/>
                <w:sz w:val="24"/>
                <w:lang w:val="en-US" w:eastAsia="zh-CN"/>
              </w:rPr>
            </w:pPr>
            <w:bookmarkStart w:id="9" w:name="OLE_LINK14"/>
            <w:bookmarkStart w:id="10" w:name="OLE_LINK4"/>
            <w:r>
              <w:rPr>
                <w:rFonts w:hint="eastAsia" w:ascii="Times New Roman" w:hAnsi="Times New Roman" w:eastAsia="华文楷体"/>
                <w:b/>
                <w:bCs w:val="0"/>
                <w:iCs/>
                <w:color w:val="000000"/>
                <w:sz w:val="24"/>
                <w:lang w:val="en-US" w:eastAsia="zh-CN"/>
              </w:rPr>
              <w:t>问题8：公司有考虑发展成为全球第一吗？</w:t>
            </w:r>
            <w:bookmarkEnd w:id="9"/>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textAlignment w:val="auto"/>
              <w:rPr>
                <w:rFonts w:hint="default" w:ascii="Times New Roman" w:hAnsi="Times New Roman" w:eastAsia="华文楷体"/>
                <w:b w:val="0"/>
                <w:bCs/>
                <w:iCs/>
                <w:color w:val="000000"/>
                <w:sz w:val="24"/>
                <w:lang w:val="en-US" w:eastAsia="zh-CN"/>
              </w:rPr>
            </w:pPr>
            <w:r>
              <w:rPr>
                <w:rFonts w:hint="eastAsia" w:ascii="Times New Roman" w:hAnsi="Times New Roman" w:eastAsia="华文楷体"/>
                <w:b w:val="0"/>
                <w:bCs/>
                <w:iCs/>
                <w:color w:val="000000"/>
                <w:sz w:val="24"/>
                <w:lang w:val="en-US" w:eastAsia="zh-CN"/>
              </w:rPr>
              <w:t>答：</w:t>
            </w:r>
            <w:bookmarkEnd w:id="10"/>
            <w:r>
              <w:rPr>
                <w:rFonts w:hint="default" w:ascii="Times New Roman" w:hAnsi="Times New Roman" w:eastAsia="华文楷体"/>
                <w:bCs/>
                <w:iCs/>
                <w:color w:val="000000"/>
                <w:sz w:val="24"/>
              </w:rPr>
              <w:t>公司将全球领先确立为长期发展愿景，我们始终以技术创新与客户价值为核心，持续推动产品性能与可靠性提升，深度参与全球能源转型。在风电传动领域，我们相信通过专注研发、精益制造和全球化服务能力的不断深化，能够为客户提供更具竞争力的解决方案，并在此过程中，逐步迈向行业引领者的位置。</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textAlignment w:val="auto"/>
              <w:rPr>
                <w:rFonts w:hint="eastAsia" w:ascii="Times New Roman" w:hAnsi="Times New Roman" w:eastAsia="华文楷体"/>
                <w:b/>
                <w:bCs w:val="0"/>
                <w:iCs/>
                <w:color w:val="000000"/>
                <w:sz w:val="24"/>
                <w:lang w:val="en-US" w:eastAsia="zh-CN"/>
              </w:rPr>
            </w:pPr>
            <w:bookmarkStart w:id="11" w:name="OLE_LINK5"/>
            <w:bookmarkStart w:id="12" w:name="OLE_LINK15"/>
            <w:r>
              <w:rPr>
                <w:rFonts w:hint="eastAsia" w:ascii="Times New Roman" w:hAnsi="Times New Roman" w:eastAsia="华文楷体"/>
                <w:b/>
                <w:bCs w:val="0"/>
                <w:iCs/>
                <w:color w:val="000000"/>
                <w:sz w:val="24"/>
                <w:lang w:val="en-US" w:eastAsia="zh-CN"/>
              </w:rPr>
              <w:t>问题9：公司产业链降本方面还有什么努力的方向吗？</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textAlignment w:val="auto"/>
              <w:rPr>
                <w:rFonts w:hint="default" w:ascii="Times New Roman" w:hAnsi="Times New Roman" w:eastAsia="华文楷体"/>
                <w:b w:val="0"/>
                <w:bCs/>
                <w:iCs/>
                <w:color w:val="000000"/>
                <w:sz w:val="24"/>
                <w:lang w:val="en-US" w:eastAsia="zh-CN"/>
              </w:rPr>
            </w:pPr>
            <w:r>
              <w:rPr>
                <w:rFonts w:hint="eastAsia" w:ascii="Times New Roman" w:hAnsi="Times New Roman" w:eastAsia="华文楷体"/>
                <w:b w:val="0"/>
                <w:bCs/>
                <w:iCs/>
                <w:color w:val="000000"/>
                <w:sz w:val="24"/>
                <w:lang w:val="en-US" w:eastAsia="zh-CN"/>
              </w:rPr>
              <w:t>答：</w:t>
            </w:r>
            <w:bookmarkEnd w:id="11"/>
            <w:r>
              <w:rPr>
                <w:rFonts w:hint="default" w:ascii="Times New Roman" w:hAnsi="Times New Roman" w:eastAsia="华文楷体"/>
                <w:bCs/>
                <w:iCs/>
                <w:color w:val="000000"/>
                <w:sz w:val="24"/>
              </w:rPr>
              <w:t>公司在产业链降本方面，重点聚焦以下方向：通过持续推动技术迭代提升产品能效与可靠性；进一步优化轻量化设计，在保证结构强度的同时降低材料与制造成本；并在明年扩大自主设计的滑轴部件的应用范围，发挥其结构简化、装配高效、维护便利的优势，从设计源头实现降本增效，持续提升产品的综合竞争力。</w:t>
            </w:r>
            <w:bookmarkEnd w:id="1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关于本次活动是否涉及应当披露重大信息的说明</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imes New Roman" w:hAnsi="Times New Roman" w:eastAsia="华文楷体"/>
                <w:bCs/>
                <w:iCs/>
                <w:color w:val="000000"/>
                <w:sz w:val="24"/>
              </w:rPr>
            </w:pPr>
            <w:r>
              <w:rPr>
                <w:rFonts w:hint="eastAsia" w:ascii="Times New Roman" w:hAnsi="Times New Roman" w:eastAsia="华文楷体"/>
                <w:bCs/>
                <w:iCs/>
                <w:color w:val="000000"/>
                <w:sz w:val="24"/>
              </w:rPr>
              <w:t>本次活动不涉及未公开披露的重大信息。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附件清单（如有）</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日期</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imes New Roman" w:hAnsi="Times New Roman" w:eastAsia="华文楷体"/>
                <w:bCs/>
                <w:iCs/>
                <w:color w:val="000000"/>
                <w:sz w:val="24"/>
              </w:rPr>
            </w:pPr>
            <w:r>
              <w:rPr>
                <w:rFonts w:hint="eastAsia" w:ascii="Times New Roman" w:hAnsi="Times New Roman" w:eastAsia="华文楷体"/>
                <w:bCs/>
                <w:iCs/>
                <w:color w:val="000000"/>
                <w:sz w:val="24"/>
                <w:lang w:val="en-US" w:eastAsia="zh-CN"/>
              </w:rPr>
              <w:t>2025年12月29日</w:t>
            </w:r>
          </w:p>
        </w:tc>
      </w:tr>
    </w:tbl>
    <w:p>
      <w:pPr>
        <w:rPr>
          <w:rFonts w:ascii="Times New Roman" w:hAnsi="Times New Roman" w:eastAsia="华文楷体"/>
          <w:sz w:val="24"/>
        </w:rPr>
      </w:pPr>
    </w:p>
    <w:p>
      <w:pPr>
        <w:widowControl/>
        <w:jc w:val="left"/>
        <w:rPr>
          <w:rFonts w:ascii="Times New Roman" w:hAnsi="Times New Roman" w:eastAsia="华文楷体"/>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930" w:right="1797" w:bottom="1440" w:left="1797" w:header="737" w:footer="680"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410"/>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353237"/>
    <w:rsid w:val="000144C4"/>
    <w:rsid w:val="0004494E"/>
    <w:rsid w:val="00071AB5"/>
    <w:rsid w:val="00077C35"/>
    <w:rsid w:val="000A4ED2"/>
    <w:rsid w:val="000B059B"/>
    <w:rsid w:val="000B6759"/>
    <w:rsid w:val="000C161D"/>
    <w:rsid w:val="0013459F"/>
    <w:rsid w:val="0017433B"/>
    <w:rsid w:val="001C4E9C"/>
    <w:rsid w:val="001E5B0E"/>
    <w:rsid w:val="002079F0"/>
    <w:rsid w:val="002241CA"/>
    <w:rsid w:val="0023431C"/>
    <w:rsid w:val="002739BD"/>
    <w:rsid w:val="002A58B1"/>
    <w:rsid w:val="002B3EB3"/>
    <w:rsid w:val="002B54AE"/>
    <w:rsid w:val="002D6DB2"/>
    <w:rsid w:val="002E2240"/>
    <w:rsid w:val="00300958"/>
    <w:rsid w:val="00302C7A"/>
    <w:rsid w:val="00312615"/>
    <w:rsid w:val="00325630"/>
    <w:rsid w:val="00331BD4"/>
    <w:rsid w:val="00334E22"/>
    <w:rsid w:val="00351F58"/>
    <w:rsid w:val="00360160"/>
    <w:rsid w:val="00361D2D"/>
    <w:rsid w:val="0038081E"/>
    <w:rsid w:val="00381E5F"/>
    <w:rsid w:val="00387DAE"/>
    <w:rsid w:val="003B3476"/>
    <w:rsid w:val="003E09D6"/>
    <w:rsid w:val="003F43E9"/>
    <w:rsid w:val="0040196F"/>
    <w:rsid w:val="00405E58"/>
    <w:rsid w:val="004134CD"/>
    <w:rsid w:val="004153F4"/>
    <w:rsid w:val="00425118"/>
    <w:rsid w:val="0043372C"/>
    <w:rsid w:val="00433836"/>
    <w:rsid w:val="00462055"/>
    <w:rsid w:val="004710A1"/>
    <w:rsid w:val="004913BC"/>
    <w:rsid w:val="00492BBF"/>
    <w:rsid w:val="00494A95"/>
    <w:rsid w:val="004B0B73"/>
    <w:rsid w:val="004B77A0"/>
    <w:rsid w:val="004C0357"/>
    <w:rsid w:val="004D6307"/>
    <w:rsid w:val="004D7FAC"/>
    <w:rsid w:val="004E7DAE"/>
    <w:rsid w:val="00500654"/>
    <w:rsid w:val="0050343A"/>
    <w:rsid w:val="00515810"/>
    <w:rsid w:val="0052341E"/>
    <w:rsid w:val="00523922"/>
    <w:rsid w:val="005263AA"/>
    <w:rsid w:val="0054044A"/>
    <w:rsid w:val="005B4322"/>
    <w:rsid w:val="005F1A92"/>
    <w:rsid w:val="005F32CA"/>
    <w:rsid w:val="006059BD"/>
    <w:rsid w:val="00612813"/>
    <w:rsid w:val="00623311"/>
    <w:rsid w:val="00644768"/>
    <w:rsid w:val="00685507"/>
    <w:rsid w:val="006879CB"/>
    <w:rsid w:val="006B5C83"/>
    <w:rsid w:val="006C36EA"/>
    <w:rsid w:val="006D403E"/>
    <w:rsid w:val="00710E31"/>
    <w:rsid w:val="00712276"/>
    <w:rsid w:val="0071616D"/>
    <w:rsid w:val="00725F7E"/>
    <w:rsid w:val="0074039A"/>
    <w:rsid w:val="00781BAC"/>
    <w:rsid w:val="007C0148"/>
    <w:rsid w:val="007C74FA"/>
    <w:rsid w:val="007D5EBF"/>
    <w:rsid w:val="007E3476"/>
    <w:rsid w:val="007F3235"/>
    <w:rsid w:val="0080146E"/>
    <w:rsid w:val="00803D91"/>
    <w:rsid w:val="0081618F"/>
    <w:rsid w:val="00822BD6"/>
    <w:rsid w:val="0082672A"/>
    <w:rsid w:val="008328C2"/>
    <w:rsid w:val="0084662D"/>
    <w:rsid w:val="00854004"/>
    <w:rsid w:val="0086040F"/>
    <w:rsid w:val="00880FC4"/>
    <w:rsid w:val="008B47B8"/>
    <w:rsid w:val="008C1D0E"/>
    <w:rsid w:val="008D13EA"/>
    <w:rsid w:val="008D66DD"/>
    <w:rsid w:val="008E2265"/>
    <w:rsid w:val="00905937"/>
    <w:rsid w:val="009478D9"/>
    <w:rsid w:val="009900EE"/>
    <w:rsid w:val="00990AE4"/>
    <w:rsid w:val="00997BB5"/>
    <w:rsid w:val="009A0BFF"/>
    <w:rsid w:val="009B4B8D"/>
    <w:rsid w:val="009D4444"/>
    <w:rsid w:val="00A025F1"/>
    <w:rsid w:val="00A04EF8"/>
    <w:rsid w:val="00A17E32"/>
    <w:rsid w:val="00A35071"/>
    <w:rsid w:val="00A36119"/>
    <w:rsid w:val="00A44A6C"/>
    <w:rsid w:val="00A71887"/>
    <w:rsid w:val="00A83CC2"/>
    <w:rsid w:val="00A8567B"/>
    <w:rsid w:val="00A860A0"/>
    <w:rsid w:val="00AC63E6"/>
    <w:rsid w:val="00AF7782"/>
    <w:rsid w:val="00B01B7E"/>
    <w:rsid w:val="00B102BD"/>
    <w:rsid w:val="00B650AC"/>
    <w:rsid w:val="00BB3EE8"/>
    <w:rsid w:val="00BB5B5A"/>
    <w:rsid w:val="00BC1881"/>
    <w:rsid w:val="00BE4C86"/>
    <w:rsid w:val="00BE6811"/>
    <w:rsid w:val="00C0730D"/>
    <w:rsid w:val="00C21305"/>
    <w:rsid w:val="00C33351"/>
    <w:rsid w:val="00C33667"/>
    <w:rsid w:val="00C50F3E"/>
    <w:rsid w:val="00C63EDF"/>
    <w:rsid w:val="00C7268F"/>
    <w:rsid w:val="00C931DF"/>
    <w:rsid w:val="00CA4D3E"/>
    <w:rsid w:val="00CB32F5"/>
    <w:rsid w:val="00CF70BF"/>
    <w:rsid w:val="00D064B1"/>
    <w:rsid w:val="00D44B54"/>
    <w:rsid w:val="00D743F3"/>
    <w:rsid w:val="00D82513"/>
    <w:rsid w:val="00DC13E8"/>
    <w:rsid w:val="00DE4790"/>
    <w:rsid w:val="00DF4636"/>
    <w:rsid w:val="00DF4BB6"/>
    <w:rsid w:val="00E470C2"/>
    <w:rsid w:val="00E90303"/>
    <w:rsid w:val="00E9327D"/>
    <w:rsid w:val="00EE241D"/>
    <w:rsid w:val="00EE6DA8"/>
    <w:rsid w:val="00F14245"/>
    <w:rsid w:val="00F435F9"/>
    <w:rsid w:val="00F46CA0"/>
    <w:rsid w:val="00F54506"/>
    <w:rsid w:val="00F56194"/>
    <w:rsid w:val="00F83F9C"/>
    <w:rsid w:val="00F95168"/>
    <w:rsid w:val="00FA0D44"/>
    <w:rsid w:val="00FC574D"/>
    <w:rsid w:val="00FC7ACF"/>
    <w:rsid w:val="00FD4854"/>
    <w:rsid w:val="08C808C1"/>
    <w:rsid w:val="092F7EC0"/>
    <w:rsid w:val="0B55365C"/>
    <w:rsid w:val="116E602C"/>
    <w:rsid w:val="117F2C6F"/>
    <w:rsid w:val="15883A60"/>
    <w:rsid w:val="161C14DA"/>
    <w:rsid w:val="17353237"/>
    <w:rsid w:val="1ECB56F7"/>
    <w:rsid w:val="2D782FCB"/>
    <w:rsid w:val="2E353DFF"/>
    <w:rsid w:val="2F4335DC"/>
    <w:rsid w:val="36F71AE2"/>
    <w:rsid w:val="374953E8"/>
    <w:rsid w:val="39A2026C"/>
    <w:rsid w:val="39C44B4D"/>
    <w:rsid w:val="3E0F2786"/>
    <w:rsid w:val="42C8165A"/>
    <w:rsid w:val="42FD36E9"/>
    <w:rsid w:val="442370E9"/>
    <w:rsid w:val="462514F4"/>
    <w:rsid w:val="483B1CF7"/>
    <w:rsid w:val="4FFFCAFE"/>
    <w:rsid w:val="566F654E"/>
    <w:rsid w:val="5A33385C"/>
    <w:rsid w:val="5CAF40AC"/>
    <w:rsid w:val="5CB13D29"/>
    <w:rsid w:val="5D1B08E5"/>
    <w:rsid w:val="6780210D"/>
    <w:rsid w:val="6B887715"/>
    <w:rsid w:val="6D416D73"/>
    <w:rsid w:val="6FA63DA2"/>
    <w:rsid w:val="71365500"/>
    <w:rsid w:val="71FA7B65"/>
    <w:rsid w:val="79DBA059"/>
    <w:rsid w:val="7A444920"/>
    <w:rsid w:val="7BD5BBAD"/>
    <w:rsid w:val="7FA178CD"/>
    <w:rsid w:val="7FE67E71"/>
    <w:rsid w:val="7FFF9C4C"/>
    <w:rsid w:val="AFBB2423"/>
    <w:rsid w:val="B76F28A5"/>
    <w:rsid w:val="B9FDE687"/>
    <w:rsid w:val="BDFF8A21"/>
    <w:rsid w:val="D4FFF143"/>
    <w:rsid w:val="D7BF1A25"/>
    <w:rsid w:val="FF7E23B7"/>
    <w:rsid w:val="FFD9AE20"/>
    <w:rsid w:val="FFDD8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unhideWhenUsed/>
    <w:qFormat/>
    <w:uiPriority w:val="99"/>
    <w:pPr>
      <w:jc w:val="left"/>
    </w:pPr>
    <w:rPr>
      <w:szCs w:val="22"/>
    </w:rPr>
  </w:style>
  <w:style w:type="paragraph" w:styleId="4">
    <w:name w:val="Date"/>
    <w:basedOn w:val="1"/>
    <w:next w:val="1"/>
    <w:link w:val="15"/>
    <w:qFormat/>
    <w:uiPriority w:val="0"/>
    <w:pPr>
      <w:ind w:left="100" w:leftChars="2500"/>
    </w:p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paragraph" w:styleId="9">
    <w:name w:val="annotation subject"/>
    <w:basedOn w:val="3"/>
    <w:next w:val="3"/>
    <w:link w:val="19"/>
    <w:semiHidden/>
    <w:unhideWhenUsed/>
    <w:qFormat/>
    <w:uiPriority w:val="0"/>
    <w:rPr>
      <w:b/>
      <w:bCs/>
      <w:szCs w:val="24"/>
    </w:rPr>
  </w:style>
  <w:style w:type="table" w:styleId="11">
    <w:name w:val="Table Grid"/>
    <w:basedOn w:val="10"/>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u w:val="single"/>
    </w:rPr>
  </w:style>
  <w:style w:type="character" w:styleId="14">
    <w:name w:val="annotation reference"/>
    <w:basedOn w:val="12"/>
    <w:unhideWhenUsed/>
    <w:qFormat/>
    <w:uiPriority w:val="99"/>
    <w:rPr>
      <w:sz w:val="21"/>
      <w:szCs w:val="21"/>
    </w:rPr>
  </w:style>
  <w:style w:type="character" w:customStyle="1" w:styleId="15">
    <w:name w:val="日期 Char"/>
    <w:basedOn w:val="12"/>
    <w:link w:val="4"/>
    <w:qFormat/>
    <w:uiPriority w:val="0"/>
    <w:rPr>
      <w:rFonts w:ascii="Calibri" w:hAnsi="Calibri"/>
      <w:kern w:val="2"/>
      <w:sz w:val="21"/>
      <w:szCs w:val="24"/>
    </w:rPr>
  </w:style>
  <w:style w:type="character" w:customStyle="1" w:styleId="16">
    <w:name w:val="批注文字 Char"/>
    <w:basedOn w:val="12"/>
    <w:link w:val="3"/>
    <w:qFormat/>
    <w:uiPriority w:val="99"/>
    <w:rPr>
      <w:rFonts w:ascii="Calibri" w:hAnsi="Calibri"/>
      <w:kern w:val="2"/>
      <w:sz w:val="21"/>
      <w:szCs w:val="22"/>
    </w:rPr>
  </w:style>
  <w:style w:type="character" w:customStyle="1" w:styleId="17">
    <w:name w:val="批注框文本 Char"/>
    <w:basedOn w:val="12"/>
    <w:link w:val="5"/>
    <w:qFormat/>
    <w:uiPriority w:val="0"/>
    <w:rPr>
      <w:rFonts w:ascii="Calibri" w:hAnsi="Calibri"/>
      <w:kern w:val="2"/>
      <w:sz w:val="18"/>
      <w:szCs w:val="18"/>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9">
    <w:name w:val="批注主题 Char"/>
    <w:basedOn w:val="16"/>
    <w:link w:val="9"/>
    <w:semiHidden/>
    <w:qFormat/>
    <w:uiPriority w:val="0"/>
    <w:rPr>
      <w:rFonts w:ascii="Calibri" w:hAnsi="Calibri"/>
      <w:b/>
      <w:bCs/>
      <w:kern w:val="2"/>
      <w:sz w:val="21"/>
      <w:szCs w:val="24"/>
    </w:rPr>
  </w:style>
  <w:style w:type="paragraph" w:customStyle="1" w:styleId="20">
    <w:name w:val="Revision"/>
    <w:hidden/>
    <w:semiHidden/>
    <w:qFormat/>
    <w:uiPriority w:val="99"/>
    <w:rPr>
      <w:rFonts w:ascii="Calibri" w:hAnsi="Calibri" w:eastAsia="宋体" w:cs="Times New Roman"/>
      <w:kern w:val="2"/>
      <w:sz w:val="21"/>
      <w:szCs w:val="24"/>
      <w:lang w:val="en-US" w:eastAsia="zh-CN" w:bidi="ar-SA"/>
    </w:rPr>
  </w:style>
  <w:style w:type="character" w:customStyle="1" w:styleId="21">
    <w:name w:val="标题 2 Char"/>
    <w:basedOn w:val="12"/>
    <w:link w:val="2"/>
    <w:qFormat/>
    <w:uiPriority w:val="9"/>
    <w:rPr>
      <w:rFonts w:ascii="宋体" w:hAnsi="宋体" w:cs="宋体"/>
      <w:b/>
      <w:bCs/>
      <w:sz w:val="36"/>
      <w:szCs w:val="36"/>
    </w:rPr>
  </w:style>
  <w:style w:type="character" w:customStyle="1" w:styleId="22">
    <w:name w:val="bgchighlight-ancho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Words>
  <Characters>278</Characters>
  <Lines>2</Lines>
  <Paragraphs>1</Paragraphs>
  <TotalTime>171</TotalTime>
  <ScaleCrop>false</ScaleCrop>
  <LinksUpToDate>false</LinksUpToDate>
  <CharactersWithSpaces>325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2025-12-03T07:08:00Z</dcterms:created>
  <dc:creator>夜火</dc:creator>
  <cp:lastModifiedBy>zlz</cp:lastModifiedBy>
  <cp:lastPrinted>2021-06-20T07:26:00Z</cp:lastPrinted>
  <dcterms:modified xsi:type="dcterms:W3CDTF">2025-12-30T10:37:23Z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E34121EC2E7A401383F62AEE581075A2</vt:lpwstr>
  </property>
</Properties>
</file>