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8351D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A8351D" w:rsidRDefault="00380974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A8351D" w:rsidRDefault="00A8351D"/>
        </w:tc>
        <w:tc>
          <w:tcPr>
            <w:tcW w:w="4148" w:type="dxa"/>
          </w:tcPr>
          <w:p w14:paraId="79FD47E2" w14:textId="77777777" w:rsidR="00A8351D" w:rsidRDefault="00380974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61424FA0" w:rsidR="00A8351D" w:rsidRDefault="00380974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</w:t>
      </w:r>
      <w:r w:rsidR="00267287">
        <w:rPr>
          <w:rStyle w:val="NormalCharacter"/>
          <w:rFonts w:ascii="宋体" w:hAnsi="宋体"/>
          <w:bCs/>
          <w:iCs/>
          <w:sz w:val="24"/>
        </w:rPr>
        <w:t>编号：2025-00</w:t>
      </w:r>
      <w:r w:rsidR="00683AB4">
        <w:rPr>
          <w:rStyle w:val="NormalCharacter"/>
          <w:rFonts w:ascii="宋体" w:hAnsi="宋体"/>
          <w:bCs/>
          <w:iCs/>
          <w:sz w:val="24"/>
        </w:rPr>
        <w:t>7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A8351D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A8351D" w:rsidRDefault="00A8351D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bookmarkStart w:id="0" w:name="OLE_LINK1"/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bookmarkEnd w:id="0"/>
            <w:r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6328D9BF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 w:rsidR="0038436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00A9ABBE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38436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77777777" w:rsidR="00A8351D" w:rsidRDefault="00380974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现场参观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bookmarkStart w:id="1" w:name="OLE_LINK2"/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bookmarkEnd w:id="1"/>
            <w:r>
              <w:rPr>
                <w:rStyle w:val="NormalCharacter"/>
                <w:rFonts w:ascii="宋体" w:hAnsi="宋体"/>
                <w:sz w:val="24"/>
              </w:rPr>
              <w:t>其他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A8351D" w14:paraId="71625F9A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21E36729" w:rsidR="00A8351D" w:rsidRDefault="00380974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参与机构</w:t>
            </w:r>
            <w:r w:rsidR="00683AB4">
              <w:rPr>
                <w:rFonts w:ascii="宋体" w:hAnsi="宋体" w:hint="eastAsia"/>
                <w:bCs/>
                <w:sz w:val="24"/>
                <w:szCs w:val="22"/>
              </w:rPr>
              <w:t>与人数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：</w:t>
            </w:r>
            <w:r w:rsidR="00D27EFB">
              <w:rPr>
                <w:rFonts w:ascii="宋体" w:hAnsi="宋体" w:hint="eastAsia"/>
                <w:bCs/>
                <w:sz w:val="24"/>
                <w:szCs w:val="22"/>
              </w:rPr>
              <w:t>华创证券、中信证券、兴业证券、平安证券、博时基金、易方达、拾贝投资、太平资产、明河投资、丝路基金、</w:t>
            </w:r>
            <w:proofErr w:type="gramStart"/>
            <w:r w:rsidR="00D27EFB">
              <w:rPr>
                <w:rFonts w:ascii="宋体" w:hAnsi="宋体" w:hint="eastAsia"/>
                <w:bCs/>
                <w:sz w:val="24"/>
                <w:szCs w:val="22"/>
              </w:rPr>
              <w:t>诺全投资</w:t>
            </w:r>
            <w:proofErr w:type="gramEnd"/>
            <w:r w:rsidR="00D07094">
              <w:rPr>
                <w:rFonts w:ascii="宋体" w:hAnsi="宋体" w:hint="eastAsia"/>
                <w:bCs/>
                <w:sz w:val="24"/>
                <w:szCs w:val="22"/>
              </w:rPr>
              <w:t>等</w:t>
            </w:r>
            <w:r w:rsidR="00101682">
              <w:rPr>
                <w:rFonts w:ascii="宋体" w:hAnsi="宋体"/>
                <w:bCs/>
                <w:sz w:val="24"/>
                <w:szCs w:val="22"/>
              </w:rPr>
              <w:t>24</w:t>
            </w:r>
            <w:r w:rsidR="00902FA0">
              <w:rPr>
                <w:rFonts w:ascii="宋体" w:hAnsi="宋体" w:hint="eastAsia"/>
                <w:bCs/>
                <w:sz w:val="24"/>
                <w:szCs w:val="22"/>
              </w:rPr>
              <w:t>人次</w:t>
            </w:r>
            <w:r w:rsidR="00D07094">
              <w:rPr>
                <w:rFonts w:ascii="宋体" w:hAnsi="宋体" w:hint="eastAsia"/>
                <w:bCs/>
                <w:sz w:val="24"/>
                <w:szCs w:val="22"/>
              </w:rPr>
              <w:t>。</w:t>
            </w:r>
          </w:p>
        </w:tc>
      </w:tr>
      <w:tr w:rsidR="00A8351D" w14:paraId="22517B72" w14:textId="77777777" w:rsidTr="0043322B">
        <w:trPr>
          <w:trHeight w:val="746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7E92" w14:textId="77777777" w:rsidR="00A8351D" w:rsidRDefault="00380974" w:rsidP="000E3BAA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5FECF418" w:rsidR="00A8351D" w:rsidRDefault="00380974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 w:rsidR="000C281C">
              <w:rPr>
                <w:rStyle w:val="NormalCharacter"/>
                <w:rFonts w:ascii="宋体" w:hAnsi="宋体"/>
                <w:bCs/>
                <w:iCs/>
                <w:sz w:val="24"/>
              </w:rPr>
              <w:t>5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 w:rsidR="00902FA0">
              <w:rPr>
                <w:rStyle w:val="NormalCharacter"/>
                <w:rFonts w:ascii="宋体" w:hAnsi="宋体"/>
                <w:bCs/>
                <w:iCs/>
                <w:sz w:val="24"/>
              </w:rPr>
              <w:t>1</w:t>
            </w:r>
            <w:r w:rsidR="00D27EFB">
              <w:rPr>
                <w:rStyle w:val="NormalCharacter"/>
                <w:rFonts w:ascii="宋体" w:hAnsi="宋体"/>
                <w:bCs/>
                <w:iCs/>
                <w:sz w:val="24"/>
              </w:rPr>
              <w:t>2</w:t>
            </w:r>
            <w:r w:rsidR="0027077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  <w:r w:rsidR="00806A03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1日</w:t>
            </w:r>
            <w:r w:rsidR="00902FA0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-</w:t>
            </w:r>
            <w:r w:rsidR="00902FA0">
              <w:rPr>
                <w:rStyle w:val="NormalCharacter"/>
                <w:rFonts w:ascii="宋体" w:hAnsi="宋体"/>
                <w:bCs/>
                <w:iCs/>
                <w:sz w:val="24"/>
              </w:rPr>
              <w:t>1</w:t>
            </w:r>
            <w:r w:rsidR="00D27EFB">
              <w:rPr>
                <w:rStyle w:val="NormalCharacter"/>
                <w:rFonts w:ascii="宋体" w:hAnsi="宋体"/>
                <w:bCs/>
                <w:iCs/>
                <w:sz w:val="24"/>
              </w:rPr>
              <w:t>2</w:t>
            </w:r>
            <w:r w:rsidR="00902FA0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  <w:r w:rsidR="00902FA0">
              <w:rPr>
                <w:rStyle w:val="NormalCharacter"/>
                <w:rFonts w:ascii="宋体" w:hAnsi="宋体"/>
                <w:bCs/>
                <w:iCs/>
                <w:sz w:val="24"/>
              </w:rPr>
              <w:t>3</w:t>
            </w:r>
            <w:r w:rsidR="00D27EFB">
              <w:rPr>
                <w:rStyle w:val="NormalCharacter"/>
                <w:rFonts w:ascii="宋体" w:hAnsi="宋体"/>
                <w:bCs/>
                <w:iCs/>
                <w:sz w:val="24"/>
              </w:rPr>
              <w:t>1</w:t>
            </w:r>
            <w:r w:rsidR="00902FA0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日</w:t>
            </w:r>
          </w:p>
        </w:tc>
      </w:tr>
      <w:tr w:rsidR="00A8351D" w14:paraId="72C8E93D" w14:textId="77777777" w:rsidTr="000E3BAA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86BA" w14:textId="7631F9C4" w:rsidR="00A8351D" w:rsidRDefault="004A44EA" w:rsidP="000E3BAA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召开方式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152D451B" w:rsidR="00A8351D" w:rsidRDefault="00D27EFB" w:rsidP="000E3BAA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上海医药大厦会议室、策略会等</w:t>
            </w:r>
          </w:p>
        </w:tc>
      </w:tr>
      <w:tr w:rsidR="00A8351D" w14:paraId="3D033AE1" w14:textId="77777777" w:rsidTr="00B52F84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上市公司接待人员姓名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588E" w14:textId="79C64B61" w:rsidR="004D2837" w:rsidRDefault="00902FA0" w:rsidP="004D2837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证券事务代表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孙诗旖</w:t>
            </w:r>
          </w:p>
          <w:p w14:paraId="6BB5EAF2" w14:textId="1CA68FFF" w:rsidR="00902FA0" w:rsidRPr="00B52F84" w:rsidRDefault="00902FA0" w:rsidP="004D2837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I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R       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王梓安</w:t>
            </w:r>
          </w:p>
        </w:tc>
      </w:tr>
      <w:tr w:rsidR="00A8351D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106C" w14:textId="609985C3" w:rsidR="002B01D8" w:rsidRPr="00C5229A" w:rsidRDefault="002B01D8" w:rsidP="002B01D8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683AB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公司商业板块在行业压力较大的情况下</w:t>
            </w:r>
            <w:r w:rsidR="005E69B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继续保持良好业绩</w:t>
            </w:r>
            <w:r w:rsidR="00683AB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的原因是什么</w:t>
            </w:r>
            <w:r w:rsidR="009E6B7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2232D53C" w14:textId="52F18F99" w:rsidR="002B01D8" w:rsidRDefault="002B01D8" w:rsidP="002B6715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683AB4" w:rsidRPr="00683AB4">
              <w:rPr>
                <w:rFonts w:ascii="宋体" w:hAnsi="宋体" w:cs="宋体" w:hint="eastAsia"/>
                <w:kern w:val="0"/>
                <w:sz w:val="24"/>
              </w:rPr>
              <w:t>近年来，公司通过提升全价值链服务能级，</w:t>
            </w:r>
            <w:r w:rsidR="002026AE">
              <w:rPr>
                <w:rFonts w:ascii="宋体" w:hAnsi="宋体" w:cs="宋体" w:hint="eastAsia"/>
                <w:kern w:val="0"/>
                <w:sz w:val="24"/>
              </w:rPr>
              <w:t>积极</w:t>
            </w:r>
            <w:r w:rsidR="00683AB4" w:rsidRPr="00683AB4">
              <w:rPr>
                <w:rFonts w:ascii="宋体" w:hAnsi="宋体" w:cs="宋体" w:hint="eastAsia"/>
                <w:kern w:val="0"/>
                <w:sz w:val="24"/>
              </w:rPr>
              <w:t>打造细分领域的专业化平台，在创新药服务、进口总代、器械大健康以及CSO业务</w:t>
            </w:r>
            <w:r w:rsidR="002026AE">
              <w:rPr>
                <w:rFonts w:ascii="宋体" w:hAnsi="宋体" w:cs="宋体" w:hint="eastAsia"/>
                <w:kern w:val="0"/>
                <w:sz w:val="24"/>
              </w:rPr>
              <w:t>等多个业务板块</w:t>
            </w:r>
            <w:r w:rsidR="00683AB4" w:rsidRPr="00683AB4">
              <w:rPr>
                <w:rFonts w:ascii="宋体" w:hAnsi="宋体" w:cs="宋体" w:hint="eastAsia"/>
                <w:kern w:val="0"/>
                <w:sz w:val="24"/>
              </w:rPr>
              <w:t>持续突破,取得了</w:t>
            </w:r>
            <w:r w:rsidR="002026AE">
              <w:rPr>
                <w:rFonts w:ascii="宋体" w:hAnsi="宋体" w:cs="宋体" w:hint="eastAsia"/>
                <w:kern w:val="0"/>
                <w:sz w:val="24"/>
              </w:rPr>
              <w:t>出色的业绩表现</w:t>
            </w:r>
            <w:r w:rsidR="00683AB4" w:rsidRPr="00683AB4">
              <w:rPr>
                <w:rFonts w:ascii="宋体" w:hAnsi="宋体" w:cs="宋体" w:hint="eastAsia"/>
                <w:kern w:val="0"/>
                <w:sz w:val="24"/>
              </w:rPr>
              <w:t>。未来，随着商业板块创新业务的占</w:t>
            </w:r>
            <w:proofErr w:type="gramStart"/>
            <w:r w:rsidR="00683AB4" w:rsidRPr="00683AB4">
              <w:rPr>
                <w:rFonts w:ascii="宋体" w:hAnsi="宋体" w:cs="宋体" w:hint="eastAsia"/>
                <w:kern w:val="0"/>
                <w:sz w:val="24"/>
              </w:rPr>
              <w:t>比持续</w:t>
            </w:r>
            <w:proofErr w:type="gramEnd"/>
            <w:r w:rsidR="00683AB4" w:rsidRPr="00683AB4">
              <w:rPr>
                <w:rFonts w:ascii="宋体" w:hAnsi="宋体" w:cs="宋体" w:hint="eastAsia"/>
                <w:kern w:val="0"/>
                <w:sz w:val="24"/>
              </w:rPr>
              <w:t>提高，商业板块</w:t>
            </w:r>
            <w:r w:rsidR="00B26149">
              <w:rPr>
                <w:rFonts w:ascii="宋体" w:hAnsi="宋体" w:cs="宋体" w:hint="eastAsia"/>
                <w:kern w:val="0"/>
                <w:sz w:val="24"/>
              </w:rPr>
              <w:t>将</w:t>
            </w:r>
            <w:r w:rsidR="00683AB4" w:rsidRPr="00683AB4">
              <w:rPr>
                <w:rFonts w:ascii="宋体" w:hAnsi="宋体" w:cs="宋体" w:hint="eastAsia"/>
                <w:kern w:val="0"/>
                <w:sz w:val="24"/>
              </w:rPr>
              <w:t>为公司带来更加稳健和</w:t>
            </w:r>
            <w:proofErr w:type="gramStart"/>
            <w:r w:rsidR="00683AB4" w:rsidRPr="00683AB4">
              <w:rPr>
                <w:rFonts w:ascii="宋体" w:hAnsi="宋体" w:cs="宋体" w:hint="eastAsia"/>
                <w:kern w:val="0"/>
                <w:sz w:val="24"/>
              </w:rPr>
              <w:t>可</w:t>
            </w:r>
            <w:proofErr w:type="gramEnd"/>
            <w:r w:rsidR="00683AB4" w:rsidRPr="00683AB4">
              <w:rPr>
                <w:rFonts w:ascii="宋体" w:hAnsi="宋体" w:cs="宋体" w:hint="eastAsia"/>
                <w:kern w:val="0"/>
                <w:sz w:val="24"/>
              </w:rPr>
              <w:t>持续的发展动力</w:t>
            </w:r>
            <w:r w:rsidR="00A0433F" w:rsidRPr="00A0433F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181ED4B9" w14:textId="71D38583" w:rsidR="008F35EF" w:rsidRDefault="008F35EF" w:rsidP="00D00FB6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F21F841" w14:textId="59E46827" w:rsidR="008F35EF" w:rsidRPr="008F35EF" w:rsidRDefault="008F35EF" w:rsidP="008F35EF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F35E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随着商保目录的出台，</w:t>
            </w:r>
            <w:r w:rsidR="002A5C9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</w:t>
            </w:r>
            <w:r w:rsidR="002A5C9A" w:rsidRPr="002A5C9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司商业板块计划如何与商保业务协同</w:t>
            </w:r>
            <w:r w:rsidRPr="008F35E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00796BE1" w14:textId="6CDF1282" w:rsidR="002A5C9A" w:rsidRPr="002A5C9A" w:rsidRDefault="008F35EF" w:rsidP="002B6715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8F35EF"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643A8C" w:rsidRPr="00643A8C">
              <w:rPr>
                <w:rFonts w:ascii="宋体" w:hAnsi="宋体" w:cs="宋体" w:hint="eastAsia"/>
                <w:kern w:val="0"/>
                <w:sz w:val="24"/>
              </w:rPr>
              <w:t>公司坚持长期战略，以创新为引，不断拓展上下游服务边界，持续突破传统医药商业模式，打造上药商业业务的核心竞争优势。</w:t>
            </w:r>
            <w:r w:rsidR="002A5C9A" w:rsidRPr="002A5C9A"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="002A5C9A">
              <w:rPr>
                <w:rFonts w:ascii="宋体" w:hAnsi="宋体" w:cs="宋体" w:hint="eastAsia"/>
                <w:kern w:val="0"/>
                <w:sz w:val="24"/>
              </w:rPr>
              <w:t>方面，公司将继续</w:t>
            </w:r>
            <w:r w:rsidR="002A5C9A" w:rsidRPr="002A5C9A">
              <w:rPr>
                <w:rFonts w:ascii="宋体" w:hAnsi="宋体" w:cs="宋体" w:hint="eastAsia"/>
                <w:kern w:val="0"/>
                <w:sz w:val="24"/>
              </w:rPr>
              <w:t>构建医药协同创新体系，推进创新药研发和商业化落地。同时，公司依托覆盖全国的医药流通网络，为创新药提供涵盖上市前合作、进出口服务、全国分销、终端推广的全生命周期服务，全方位支持创新药商业化进程。</w:t>
            </w:r>
          </w:p>
          <w:p w14:paraId="5AB5D74B" w14:textId="5C06CB98" w:rsidR="008F35EF" w:rsidRDefault="002A5C9A" w:rsidP="002B6715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另一方面，持续推动</w:t>
            </w:r>
            <w:r w:rsidRPr="002A5C9A">
              <w:rPr>
                <w:rFonts w:ascii="宋体" w:hAnsi="宋体" w:cs="宋体" w:hint="eastAsia"/>
                <w:kern w:val="0"/>
                <w:sz w:val="24"/>
              </w:rPr>
              <w:t>创新支付生态，提升创新药品可及性。公司通过加强与保险公司、医院的战略合作，通过"双通道"药房网络与商业保险创新，打造“药品+保险+服务”一站</w:t>
            </w:r>
            <w:proofErr w:type="gramStart"/>
            <w:r w:rsidRPr="002A5C9A">
              <w:rPr>
                <w:rFonts w:ascii="宋体" w:hAnsi="宋体" w:cs="宋体" w:hint="eastAsia"/>
                <w:kern w:val="0"/>
                <w:sz w:val="24"/>
              </w:rPr>
              <w:t>式健康</w:t>
            </w:r>
            <w:proofErr w:type="gramEnd"/>
            <w:r w:rsidRPr="002A5C9A">
              <w:rPr>
                <w:rFonts w:ascii="宋体" w:hAnsi="宋体" w:cs="宋体" w:hint="eastAsia"/>
                <w:kern w:val="0"/>
                <w:sz w:val="24"/>
              </w:rPr>
              <w:t>服务新场景，探索多方共赢的支付新路径。</w:t>
            </w:r>
          </w:p>
          <w:p w14:paraId="69A00556" w14:textId="5C81909E" w:rsidR="000E6C03" w:rsidRDefault="000E6C03" w:rsidP="000E6C0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75B8AF6" w14:textId="01884FE9" w:rsidR="00DC5261" w:rsidRDefault="00DC5261" w:rsidP="00DC5261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611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5E69B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</w:t>
            </w:r>
            <w:r w:rsidR="00A72BFB" w:rsidRPr="007611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工业</w:t>
            </w:r>
            <w:r w:rsidR="005E69B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板块</w:t>
            </w:r>
            <w:r w:rsidR="007611D3" w:rsidRPr="007611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未来的</w:t>
            </w:r>
            <w:r w:rsidR="00A72BFB" w:rsidRPr="007611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发展潜</w:t>
            </w:r>
            <w:r w:rsidR="005E69B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力有哪些</w:t>
            </w:r>
            <w:r w:rsidR="00A0433F" w:rsidRPr="007611D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320F4896" w14:textId="6671B5B9" w:rsidR="00CD4DCC" w:rsidRDefault="00DC5261" w:rsidP="002B6715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CE4AFF">
              <w:rPr>
                <w:rFonts w:ascii="宋体" w:hAnsi="宋体" w:cs="宋体" w:hint="eastAsia"/>
                <w:kern w:val="0"/>
                <w:sz w:val="24"/>
              </w:rPr>
              <w:t>近年来，</w:t>
            </w:r>
            <w:r w:rsidR="007611D3" w:rsidRPr="007611D3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4A4DD7">
              <w:rPr>
                <w:rFonts w:ascii="宋体" w:hAnsi="宋体" w:cs="宋体" w:hint="eastAsia"/>
                <w:kern w:val="0"/>
                <w:sz w:val="24"/>
              </w:rPr>
              <w:t>在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优化</w:t>
            </w:r>
            <w:r w:rsidR="007611D3" w:rsidRPr="007611D3">
              <w:rPr>
                <w:rFonts w:ascii="宋体" w:hAnsi="宋体" w:cs="宋体" w:hint="eastAsia"/>
                <w:kern w:val="0"/>
                <w:sz w:val="24"/>
              </w:rPr>
              <w:t>销售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体系</w:t>
            </w:r>
            <w:r w:rsidR="007611D3" w:rsidRPr="007611D3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4A4DD7">
              <w:rPr>
                <w:rFonts w:ascii="宋体" w:hAnsi="宋体" w:cs="宋体" w:hint="eastAsia"/>
                <w:kern w:val="0"/>
                <w:sz w:val="24"/>
              </w:rPr>
              <w:t>打造</w:t>
            </w:r>
            <w:r w:rsidR="007611D3" w:rsidRPr="007611D3">
              <w:rPr>
                <w:rFonts w:ascii="宋体" w:hAnsi="宋体" w:cs="宋体" w:hint="eastAsia"/>
                <w:kern w:val="0"/>
                <w:sz w:val="24"/>
              </w:rPr>
              <w:t>重点产品等多个方面</w:t>
            </w:r>
            <w:r w:rsidR="004A4DD7">
              <w:rPr>
                <w:rFonts w:ascii="宋体" w:hAnsi="宋体" w:cs="宋体" w:hint="eastAsia"/>
                <w:kern w:val="0"/>
                <w:sz w:val="24"/>
              </w:rPr>
              <w:t>取得成效</w:t>
            </w:r>
            <w:r w:rsidR="007611D3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B21896">
              <w:rPr>
                <w:rFonts w:ascii="宋体" w:hAnsi="宋体" w:cs="宋体" w:hint="eastAsia"/>
                <w:kern w:val="0"/>
                <w:sz w:val="24"/>
              </w:rPr>
              <w:t>在传统化药方面，我们在</w:t>
            </w:r>
            <w:r w:rsidR="007611D3" w:rsidRPr="007611D3">
              <w:rPr>
                <w:rFonts w:ascii="宋体" w:hAnsi="宋体" w:cs="宋体" w:hint="eastAsia"/>
                <w:kern w:val="0"/>
                <w:sz w:val="24"/>
              </w:rPr>
              <w:t>持续挖掘存量产品潜力</w:t>
            </w:r>
            <w:r w:rsidR="000B2BBC">
              <w:rPr>
                <w:rFonts w:ascii="宋体" w:hAnsi="宋体" w:cs="宋体" w:hint="eastAsia"/>
                <w:kern w:val="0"/>
                <w:sz w:val="24"/>
              </w:rPr>
              <w:t>的同时，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大力拓展</w:t>
            </w:r>
            <w:r w:rsidR="000B2BBC" w:rsidRPr="007611D3">
              <w:rPr>
                <w:rFonts w:ascii="宋体" w:hAnsi="宋体" w:cs="宋体" w:hint="eastAsia"/>
                <w:kern w:val="0"/>
                <w:sz w:val="24"/>
              </w:rPr>
              <w:t>大健康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等新赛道</w:t>
            </w:r>
            <w:r w:rsidR="00B21896">
              <w:rPr>
                <w:rFonts w:ascii="宋体" w:hAnsi="宋体" w:cs="宋体" w:hint="eastAsia"/>
                <w:kern w:val="0"/>
                <w:sz w:val="24"/>
              </w:rPr>
              <w:t>。在中药方面，我们</w:t>
            </w:r>
            <w:r w:rsidR="005E69BE">
              <w:rPr>
                <w:rFonts w:ascii="宋体" w:hAnsi="宋体" w:cs="宋体" w:hint="eastAsia"/>
                <w:kern w:val="0"/>
                <w:sz w:val="24"/>
              </w:rPr>
              <w:t>针对</w:t>
            </w:r>
            <w:r w:rsidR="00B21896">
              <w:rPr>
                <w:rFonts w:ascii="宋体" w:hAnsi="宋体" w:cs="宋体" w:hint="eastAsia"/>
                <w:kern w:val="0"/>
                <w:sz w:val="24"/>
              </w:rPr>
              <w:t>大品种</w:t>
            </w:r>
            <w:r w:rsidR="005E69BE">
              <w:rPr>
                <w:rFonts w:ascii="宋体" w:hAnsi="宋体" w:cs="宋体" w:hint="eastAsia"/>
                <w:kern w:val="0"/>
                <w:sz w:val="24"/>
              </w:rPr>
              <w:t>开展</w:t>
            </w:r>
            <w:r w:rsidR="004A4DD7">
              <w:rPr>
                <w:rFonts w:ascii="宋体" w:hAnsi="宋体" w:cs="宋体" w:hint="eastAsia"/>
                <w:kern w:val="0"/>
                <w:sz w:val="24"/>
              </w:rPr>
              <w:t>的循证医学研究</w:t>
            </w:r>
            <w:r w:rsidR="00CE4AFF">
              <w:rPr>
                <w:rFonts w:ascii="宋体" w:hAnsi="宋体" w:cs="宋体" w:hint="eastAsia"/>
                <w:kern w:val="0"/>
                <w:sz w:val="24"/>
              </w:rPr>
              <w:t>持续取得进展</w:t>
            </w:r>
            <w:r w:rsidR="005E69BE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B21896">
              <w:rPr>
                <w:rFonts w:ascii="宋体" w:hAnsi="宋体" w:cs="宋体" w:hint="eastAsia"/>
                <w:kern w:val="0"/>
                <w:sz w:val="24"/>
              </w:rPr>
              <w:t>同时</w:t>
            </w:r>
            <w:r w:rsidR="005E69BE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依托</w:t>
            </w:r>
            <w:r w:rsidR="004A4DD7">
              <w:rPr>
                <w:rFonts w:ascii="宋体" w:hAnsi="宋体" w:cs="宋体" w:hint="eastAsia"/>
                <w:kern w:val="0"/>
                <w:sz w:val="24"/>
              </w:rPr>
              <w:t>上海</w:t>
            </w:r>
            <w:r w:rsidR="00B21896">
              <w:rPr>
                <w:rFonts w:ascii="宋体" w:hAnsi="宋体" w:cs="宋体" w:hint="eastAsia"/>
                <w:kern w:val="0"/>
                <w:sz w:val="24"/>
              </w:rPr>
              <w:t>和黄在心血管产品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方面的综合能力优势，</w:t>
            </w:r>
            <w:r w:rsidR="00CE4AFF">
              <w:rPr>
                <w:rFonts w:ascii="宋体" w:hAnsi="宋体" w:cs="宋体" w:hint="eastAsia"/>
                <w:kern w:val="0"/>
                <w:sz w:val="24"/>
              </w:rPr>
              <w:t>公司中药板块的核心竞争力</w:t>
            </w:r>
            <w:r w:rsidR="005E69BE">
              <w:rPr>
                <w:rFonts w:ascii="宋体" w:hAnsi="宋体" w:cs="宋体" w:hint="eastAsia"/>
                <w:kern w:val="0"/>
                <w:sz w:val="24"/>
              </w:rPr>
              <w:t>将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到</w:t>
            </w:r>
            <w:r w:rsidR="005E69BE">
              <w:rPr>
                <w:rFonts w:ascii="宋体" w:hAnsi="宋体" w:cs="宋体" w:hint="eastAsia"/>
                <w:kern w:val="0"/>
                <w:sz w:val="24"/>
              </w:rPr>
              <w:t>进一步提升</w:t>
            </w:r>
            <w:r w:rsidR="006878F1">
              <w:rPr>
                <w:rFonts w:ascii="宋体" w:hAnsi="宋体" w:cs="宋体" w:hint="eastAsia"/>
                <w:kern w:val="0"/>
                <w:sz w:val="24"/>
              </w:rPr>
              <w:t>。在创新药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方面</w:t>
            </w:r>
            <w:r w:rsidR="006878F1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公司自主研发的1类新药</w:t>
            </w:r>
            <w:r w:rsidR="00D03E35">
              <w:rPr>
                <w:rFonts w:ascii="宋体" w:hAnsi="宋体" w:cs="宋体"/>
                <w:kern w:val="0"/>
                <w:sz w:val="24"/>
              </w:rPr>
              <w:t>SPH3127</w:t>
            </w:r>
            <w:r w:rsidR="00D03E35">
              <w:rPr>
                <w:rFonts w:ascii="宋体" w:hAnsi="宋体" w:cs="宋体" w:hint="eastAsia"/>
                <w:kern w:val="0"/>
                <w:sz w:val="24"/>
              </w:rPr>
              <w:t>片（I</w:t>
            </w:r>
            <w:r w:rsidR="00D03E35">
              <w:rPr>
                <w:rFonts w:ascii="宋体" w:hAnsi="宋体" w:cs="宋体"/>
                <w:kern w:val="0"/>
                <w:sz w:val="24"/>
              </w:rPr>
              <w:t>001</w:t>
            </w:r>
            <w:r w:rsidR="00D03E35">
              <w:rPr>
                <w:rFonts w:ascii="宋体" w:hAnsi="宋体" w:cs="宋体" w:hint="eastAsia"/>
                <w:kern w:val="0"/>
                <w:sz w:val="24"/>
              </w:rPr>
              <w:t>项目）高血压适应症</w:t>
            </w:r>
            <w:r w:rsidR="00D27EFB">
              <w:rPr>
                <w:rFonts w:ascii="宋体" w:hAnsi="宋体" w:cs="宋体" w:hint="eastAsia"/>
                <w:kern w:val="0"/>
                <w:sz w:val="24"/>
              </w:rPr>
              <w:t>已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于近期</w:t>
            </w:r>
            <w:r w:rsidR="00D27EFB">
              <w:rPr>
                <w:rFonts w:ascii="宋体" w:hAnsi="宋体" w:cs="宋体" w:hint="eastAsia"/>
                <w:kern w:val="0"/>
                <w:sz w:val="24"/>
              </w:rPr>
              <w:t>正式获批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，另有多个管线处于后期临床阶段</w:t>
            </w:r>
            <w:r w:rsidR="00CE4AFF">
              <w:rPr>
                <w:rFonts w:ascii="宋体" w:hAnsi="宋体" w:cs="宋体" w:hint="eastAsia"/>
                <w:kern w:val="0"/>
                <w:sz w:val="24"/>
              </w:rPr>
              <w:t>。未来，</w:t>
            </w:r>
            <w:r w:rsidR="00F25467">
              <w:rPr>
                <w:rFonts w:ascii="宋体" w:hAnsi="宋体" w:cs="宋体" w:hint="eastAsia"/>
                <w:kern w:val="0"/>
                <w:sz w:val="24"/>
              </w:rPr>
              <w:t>我们将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持续创新突破，</w:t>
            </w:r>
            <w:r w:rsidR="00F25467" w:rsidRPr="00F25467">
              <w:rPr>
                <w:rFonts w:ascii="宋体" w:hAnsi="宋体" w:cs="宋体" w:hint="eastAsia"/>
                <w:kern w:val="0"/>
                <w:sz w:val="24"/>
              </w:rPr>
              <w:t>进一步优化产品结构，拓展新市场，</w:t>
            </w:r>
            <w:r w:rsidR="00D01803">
              <w:rPr>
                <w:rFonts w:ascii="宋体" w:hAnsi="宋体" w:cs="宋体" w:hint="eastAsia"/>
                <w:kern w:val="0"/>
                <w:sz w:val="24"/>
              </w:rPr>
              <w:t>实现长期稳健发展</w:t>
            </w:r>
            <w:r w:rsidR="005E69BE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0066DEE5" w14:textId="77777777" w:rsidR="00CD4DCC" w:rsidRDefault="00CD4DCC" w:rsidP="00AA03E2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987FFCC" w14:textId="2BC87125" w:rsidR="002A17C4" w:rsidRPr="002A17C4" w:rsidRDefault="002A17C4" w:rsidP="00AA03E2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A17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FB72E4" w:rsidRPr="00FB72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公司的研发体系是否会进一步优化</w:t>
            </w:r>
            <w:r w:rsidR="0022384B" w:rsidRPr="00FB72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2C1E584F" w14:textId="70118884" w:rsidR="00DC5261" w:rsidRDefault="002A17C4" w:rsidP="002B6715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E8025A" w:rsidRPr="00E8025A">
              <w:rPr>
                <w:rFonts w:ascii="宋体" w:hAnsi="宋体" w:cs="宋体" w:hint="eastAsia"/>
                <w:kern w:val="0"/>
                <w:sz w:val="24"/>
              </w:rPr>
              <w:t>公司不断致力于夯实研发基础、构建创新生态，以推动研发效能的全面提升</w:t>
            </w:r>
            <w:r w:rsidR="00FB72E4" w:rsidRPr="00FB72E4">
              <w:rPr>
                <w:rFonts w:ascii="宋体" w:hAnsi="宋体" w:cs="宋体" w:hint="eastAsia"/>
                <w:kern w:val="0"/>
                <w:sz w:val="24"/>
              </w:rPr>
              <w:t>。在自</w:t>
            </w:r>
            <w:proofErr w:type="gramStart"/>
            <w:r w:rsidR="00FB72E4" w:rsidRPr="00FB72E4">
              <w:rPr>
                <w:rFonts w:ascii="宋体" w:hAnsi="宋体" w:cs="宋体" w:hint="eastAsia"/>
                <w:kern w:val="0"/>
                <w:sz w:val="24"/>
              </w:rPr>
              <w:t>研</w:t>
            </w:r>
            <w:proofErr w:type="gramEnd"/>
            <w:r w:rsidR="00FB72E4" w:rsidRPr="00FB72E4">
              <w:rPr>
                <w:rFonts w:ascii="宋体" w:hAnsi="宋体" w:cs="宋体" w:hint="eastAsia"/>
                <w:kern w:val="0"/>
                <w:sz w:val="24"/>
              </w:rPr>
              <w:t>体系的搭建上，</w:t>
            </w:r>
            <w:r w:rsidR="005E69BE">
              <w:rPr>
                <w:rFonts w:ascii="宋体" w:hAnsi="宋体" w:cs="宋体" w:hint="eastAsia"/>
                <w:kern w:val="0"/>
                <w:sz w:val="24"/>
              </w:rPr>
              <w:t>公司持续</w:t>
            </w:r>
            <w:r w:rsidR="00FB72E4" w:rsidRPr="00FB72E4">
              <w:rPr>
                <w:rFonts w:ascii="宋体" w:hAnsi="宋体" w:cs="宋体" w:hint="eastAsia"/>
                <w:kern w:val="0"/>
                <w:sz w:val="24"/>
              </w:rPr>
              <w:t>加快技术平台的建设，包括大分子早期研究平台、小分子多肽平台及转化评价等</w:t>
            </w:r>
            <w:r w:rsidR="007E0EE8">
              <w:rPr>
                <w:rFonts w:ascii="宋体" w:hAnsi="宋体" w:cs="宋体" w:hint="eastAsia"/>
                <w:kern w:val="0"/>
                <w:sz w:val="24"/>
              </w:rPr>
              <w:t>在内的</w:t>
            </w:r>
            <w:r w:rsidR="00FB72E4" w:rsidRPr="00FB72E4">
              <w:rPr>
                <w:rFonts w:ascii="宋体" w:hAnsi="宋体" w:cs="宋体" w:hint="eastAsia"/>
                <w:kern w:val="0"/>
                <w:sz w:val="24"/>
              </w:rPr>
              <w:t>技术平台都已取得阶段性进展。同时，公司依托上海前沿打造开源创新生态，积极发挥“链主”作用，集合‘产学研医资’等资源，推进创新成果转化和产业化。</w:t>
            </w:r>
            <w:r w:rsidR="007E0EE8" w:rsidRPr="007E0EE8">
              <w:rPr>
                <w:rFonts w:ascii="宋体" w:hAnsi="宋体" w:cs="宋体" w:hint="eastAsia"/>
                <w:kern w:val="0"/>
                <w:sz w:val="24"/>
              </w:rPr>
              <w:t>未来，公司将围绕上海医药的优势治疗领域继续深化管线，实现创新驱动发展的目标。</w:t>
            </w:r>
          </w:p>
          <w:p w14:paraId="65C6D9AE" w14:textId="77777777" w:rsidR="002A17C4" w:rsidRPr="00DC5261" w:rsidRDefault="002A17C4" w:rsidP="000E6C0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F30BE9" w14:textId="79FF2D0E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16754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公司未来分红是否有计划</w:t>
            </w:r>
            <w:r w:rsidR="00E7032A" w:rsidRPr="00E7032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29326F40" w14:textId="4C38B5F4" w:rsidR="00405F40" w:rsidRDefault="00380974" w:rsidP="002B6715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16754D" w:rsidRPr="0016754D">
              <w:rPr>
                <w:rFonts w:ascii="宋体" w:hAnsi="宋体" w:cs="宋体" w:hint="eastAsia"/>
                <w:kern w:val="0"/>
                <w:sz w:val="24"/>
              </w:rPr>
              <w:t>公司高度重视股东回报，每年的分红比例不低于30%，且在近两年来提高了分红频率，增设中期分红以回馈投资者</w:t>
            </w:r>
            <w:r w:rsidR="008733BE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4A4DD7">
              <w:rPr>
                <w:rFonts w:ascii="宋体" w:hAnsi="宋体" w:cs="宋体" w:hint="eastAsia"/>
                <w:kern w:val="0"/>
                <w:sz w:val="24"/>
              </w:rPr>
              <w:t>其中2</w:t>
            </w:r>
            <w:r w:rsidR="004A4DD7">
              <w:rPr>
                <w:rFonts w:ascii="宋体" w:hAnsi="宋体" w:cs="宋体"/>
                <w:kern w:val="0"/>
                <w:sz w:val="24"/>
              </w:rPr>
              <w:t>025</w:t>
            </w:r>
            <w:r w:rsidR="004A4DD7">
              <w:rPr>
                <w:rFonts w:ascii="宋体" w:hAnsi="宋体" w:cs="宋体" w:hint="eastAsia"/>
                <w:kern w:val="0"/>
                <w:sz w:val="24"/>
              </w:rPr>
              <w:t>年度中期</w:t>
            </w:r>
            <w:r w:rsidR="00907F81">
              <w:rPr>
                <w:rFonts w:ascii="宋体" w:hAnsi="宋体" w:cs="宋体" w:hint="eastAsia"/>
                <w:kern w:val="0"/>
                <w:sz w:val="24"/>
              </w:rPr>
              <w:t>分红方案</w:t>
            </w:r>
            <w:r w:rsidR="00D27EFB">
              <w:rPr>
                <w:rFonts w:ascii="宋体" w:hAnsi="宋体" w:cs="宋体" w:hint="eastAsia"/>
                <w:kern w:val="0"/>
                <w:sz w:val="24"/>
              </w:rPr>
              <w:t>已</w:t>
            </w:r>
            <w:r w:rsidR="004A4DD7">
              <w:rPr>
                <w:rFonts w:ascii="宋体" w:hAnsi="宋体" w:cs="宋体" w:hint="eastAsia"/>
                <w:kern w:val="0"/>
                <w:sz w:val="24"/>
              </w:rPr>
              <w:t>于1</w:t>
            </w:r>
            <w:r w:rsidR="004A4DD7">
              <w:rPr>
                <w:rFonts w:ascii="宋体" w:hAnsi="宋体" w:cs="宋体"/>
                <w:kern w:val="0"/>
                <w:sz w:val="24"/>
              </w:rPr>
              <w:t>2</w:t>
            </w:r>
            <w:r w:rsidR="004A4DD7">
              <w:rPr>
                <w:rFonts w:ascii="宋体" w:hAnsi="宋体" w:cs="宋体" w:hint="eastAsia"/>
                <w:kern w:val="0"/>
                <w:sz w:val="24"/>
              </w:rPr>
              <w:t>月9日临时股东大会审议</w:t>
            </w:r>
            <w:r w:rsidR="005E69BE">
              <w:rPr>
                <w:rFonts w:ascii="宋体" w:hAnsi="宋体" w:cs="宋体" w:hint="eastAsia"/>
                <w:kern w:val="0"/>
                <w:sz w:val="24"/>
              </w:rPr>
              <w:t>通过</w:t>
            </w:r>
            <w:r w:rsidR="008F35EF">
              <w:rPr>
                <w:rFonts w:ascii="宋体" w:hAnsi="宋体" w:cs="宋体" w:hint="eastAsia"/>
                <w:kern w:val="0"/>
                <w:sz w:val="24"/>
              </w:rPr>
              <w:t>且公司</w:t>
            </w:r>
            <w:r w:rsidR="00D27EFB">
              <w:rPr>
                <w:rFonts w:ascii="宋体" w:hAnsi="宋体" w:cs="宋体" w:hint="eastAsia"/>
                <w:kern w:val="0"/>
                <w:sz w:val="24"/>
              </w:rPr>
              <w:t>在1</w:t>
            </w:r>
            <w:r w:rsidR="00D27EFB">
              <w:rPr>
                <w:rFonts w:ascii="宋体" w:hAnsi="宋体" w:cs="宋体"/>
                <w:kern w:val="0"/>
                <w:sz w:val="24"/>
              </w:rPr>
              <w:t>2</w:t>
            </w:r>
            <w:r w:rsidR="00D27EFB">
              <w:rPr>
                <w:rFonts w:ascii="宋体" w:hAnsi="宋体" w:cs="宋体" w:hint="eastAsia"/>
                <w:kern w:val="0"/>
                <w:sz w:val="24"/>
              </w:rPr>
              <w:t>月2</w:t>
            </w:r>
            <w:r w:rsidR="00D27EFB">
              <w:rPr>
                <w:rFonts w:ascii="宋体" w:hAnsi="宋体" w:cs="宋体"/>
                <w:kern w:val="0"/>
                <w:sz w:val="24"/>
              </w:rPr>
              <w:t>5</w:t>
            </w:r>
            <w:r w:rsidR="00D27EFB">
              <w:rPr>
                <w:rFonts w:ascii="宋体" w:hAnsi="宋体" w:cs="宋体" w:hint="eastAsia"/>
                <w:kern w:val="0"/>
                <w:sz w:val="24"/>
              </w:rPr>
              <w:t>日发布</w:t>
            </w:r>
            <w:r w:rsidR="008F35EF">
              <w:rPr>
                <w:rFonts w:ascii="宋体" w:hAnsi="宋体" w:cs="宋体" w:hint="eastAsia"/>
                <w:kern w:val="0"/>
                <w:sz w:val="24"/>
              </w:rPr>
              <w:t>了</w:t>
            </w:r>
            <w:r w:rsidR="00D27EFB" w:rsidRPr="00D27EFB">
              <w:rPr>
                <w:rFonts w:ascii="宋体" w:hAnsi="宋体" w:cs="宋体" w:hint="eastAsia"/>
                <w:kern w:val="0"/>
                <w:sz w:val="24"/>
              </w:rPr>
              <w:t>2025年半年度权益分派实施公告</w:t>
            </w:r>
            <w:r w:rsidR="0016754D" w:rsidRPr="0016754D">
              <w:rPr>
                <w:rFonts w:ascii="宋体" w:hAnsi="宋体" w:cs="宋体" w:hint="eastAsia"/>
                <w:kern w:val="0"/>
                <w:sz w:val="24"/>
              </w:rPr>
              <w:t>。未来，公司将在确保分红比例不低于30%的前提下，结合实际需求，在条件许可的范围内优化分红比例或分红频率，以此回报股东。</w:t>
            </w:r>
          </w:p>
          <w:p w14:paraId="2B176AC0" w14:textId="0EE2A586" w:rsidR="00A72BFB" w:rsidRPr="0016140B" w:rsidRDefault="00A72BFB" w:rsidP="00AE4620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8351D" w14:paraId="5C1AF499" w14:textId="77777777" w:rsidTr="006D16D0">
        <w:trPr>
          <w:trHeight w:val="896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A8351D" w:rsidRDefault="00380974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A8351D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A8351D" w:rsidRDefault="0038097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</w:t>
            </w:r>
            <w:proofErr w:type="gramStart"/>
            <w:r>
              <w:rPr>
                <w:rFonts w:hint="eastAsia"/>
                <w:sz w:val="24"/>
              </w:rPr>
              <w:t>遵守信披</w:t>
            </w:r>
            <w:proofErr w:type="gramEnd"/>
            <w:r>
              <w:rPr>
                <w:rFonts w:hint="eastAsia"/>
                <w:sz w:val="24"/>
              </w:rPr>
              <w:t>规则进行投资者交流，如涉及公司未来计划、发展战略等前瞻性描述，不构成公司对投资者的实质性承诺。</w:t>
            </w:r>
          </w:p>
        </w:tc>
      </w:tr>
    </w:tbl>
    <w:p w14:paraId="26AB79A2" w14:textId="77777777" w:rsidR="00A8351D" w:rsidRDefault="00A8351D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A8351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051B" w14:textId="77777777" w:rsidR="00006261" w:rsidRDefault="00006261">
      <w:r>
        <w:separator/>
      </w:r>
    </w:p>
  </w:endnote>
  <w:endnote w:type="continuationSeparator" w:id="0">
    <w:p w14:paraId="390CF01B" w14:textId="77777777" w:rsidR="00006261" w:rsidRDefault="0000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A8351D" w:rsidRDefault="00A8351D">
    <w:pPr>
      <w:pStyle w:val="a9"/>
      <w:framePr w:wrap="around" w:hAnchor="text" w:xAlign="center" w:y="1"/>
      <w:rPr>
        <w:rStyle w:val="PageNumber"/>
      </w:rPr>
    </w:pPr>
  </w:p>
  <w:p w14:paraId="7914E9DE" w14:textId="77777777" w:rsidR="00A8351D" w:rsidRDefault="00A8351D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A8351D" w:rsidRDefault="003809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E07" w:rsidRPr="00475E07">
      <w:rPr>
        <w:noProof/>
        <w:lang w:val="zh-CN"/>
      </w:rPr>
      <w:t>2</w:t>
    </w:r>
    <w:r>
      <w:rPr>
        <w:lang w:val="zh-CN"/>
      </w:rPr>
      <w:fldChar w:fldCharType="end"/>
    </w:r>
  </w:p>
  <w:p w14:paraId="098BCA03" w14:textId="77777777" w:rsidR="00A8351D" w:rsidRDefault="00A8351D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E232" w14:textId="77777777" w:rsidR="00006261" w:rsidRDefault="00006261">
      <w:r>
        <w:separator/>
      </w:r>
    </w:p>
  </w:footnote>
  <w:footnote w:type="continuationSeparator" w:id="0">
    <w:p w14:paraId="7CED6013" w14:textId="77777777" w:rsidR="00006261" w:rsidRDefault="0000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A8351D" w:rsidRDefault="00A8351D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02948"/>
    <w:rsid w:val="00006261"/>
    <w:rsid w:val="000106BF"/>
    <w:rsid w:val="0001661F"/>
    <w:rsid w:val="000311C7"/>
    <w:rsid w:val="00080BA0"/>
    <w:rsid w:val="00095809"/>
    <w:rsid w:val="000A1111"/>
    <w:rsid w:val="000A54B9"/>
    <w:rsid w:val="000B2BBC"/>
    <w:rsid w:val="000B50E4"/>
    <w:rsid w:val="000C281C"/>
    <w:rsid w:val="000D1E62"/>
    <w:rsid w:val="000D5FD2"/>
    <w:rsid w:val="000E3BAA"/>
    <w:rsid w:val="000E6C03"/>
    <w:rsid w:val="000F5020"/>
    <w:rsid w:val="00101682"/>
    <w:rsid w:val="00103072"/>
    <w:rsid w:val="00114041"/>
    <w:rsid w:val="001221D9"/>
    <w:rsid w:val="00126C8E"/>
    <w:rsid w:val="0013667A"/>
    <w:rsid w:val="00141D46"/>
    <w:rsid w:val="00142762"/>
    <w:rsid w:val="0016140B"/>
    <w:rsid w:val="0016754D"/>
    <w:rsid w:val="001A53A3"/>
    <w:rsid w:val="001B0D29"/>
    <w:rsid w:val="001B36DF"/>
    <w:rsid w:val="001B5951"/>
    <w:rsid w:val="001C0AD0"/>
    <w:rsid w:val="001C3E70"/>
    <w:rsid w:val="001C5440"/>
    <w:rsid w:val="001E1996"/>
    <w:rsid w:val="001E2A1B"/>
    <w:rsid w:val="001E580A"/>
    <w:rsid w:val="001F026F"/>
    <w:rsid w:val="001F301A"/>
    <w:rsid w:val="002013A4"/>
    <w:rsid w:val="00201EF5"/>
    <w:rsid w:val="002026AE"/>
    <w:rsid w:val="0022384B"/>
    <w:rsid w:val="00224ED8"/>
    <w:rsid w:val="0024108E"/>
    <w:rsid w:val="00244C7E"/>
    <w:rsid w:val="00267287"/>
    <w:rsid w:val="00270410"/>
    <w:rsid w:val="00270774"/>
    <w:rsid w:val="002839D7"/>
    <w:rsid w:val="00292E82"/>
    <w:rsid w:val="002A17C4"/>
    <w:rsid w:val="002A5C9A"/>
    <w:rsid w:val="002B01D8"/>
    <w:rsid w:val="002B0A2A"/>
    <w:rsid w:val="002B1884"/>
    <w:rsid w:val="002B58AA"/>
    <w:rsid w:val="002B6715"/>
    <w:rsid w:val="002C31E7"/>
    <w:rsid w:val="002D108A"/>
    <w:rsid w:val="002D3F5B"/>
    <w:rsid w:val="00301D24"/>
    <w:rsid w:val="003332B2"/>
    <w:rsid w:val="00337A0C"/>
    <w:rsid w:val="0034017D"/>
    <w:rsid w:val="00342020"/>
    <w:rsid w:val="00364219"/>
    <w:rsid w:val="0036497F"/>
    <w:rsid w:val="00380974"/>
    <w:rsid w:val="00384364"/>
    <w:rsid w:val="00390DD1"/>
    <w:rsid w:val="00392451"/>
    <w:rsid w:val="003B66B3"/>
    <w:rsid w:val="003D4770"/>
    <w:rsid w:val="003E6A30"/>
    <w:rsid w:val="00405F40"/>
    <w:rsid w:val="00410490"/>
    <w:rsid w:val="00415117"/>
    <w:rsid w:val="00415BD0"/>
    <w:rsid w:val="00425DBD"/>
    <w:rsid w:val="0043322B"/>
    <w:rsid w:val="0044386C"/>
    <w:rsid w:val="0045403E"/>
    <w:rsid w:val="0046361B"/>
    <w:rsid w:val="004640E2"/>
    <w:rsid w:val="00475E07"/>
    <w:rsid w:val="004823C9"/>
    <w:rsid w:val="00493277"/>
    <w:rsid w:val="00496D93"/>
    <w:rsid w:val="0049785A"/>
    <w:rsid w:val="004A44EA"/>
    <w:rsid w:val="004A4DD7"/>
    <w:rsid w:val="004B65C4"/>
    <w:rsid w:val="004C2BF9"/>
    <w:rsid w:val="004C3851"/>
    <w:rsid w:val="004C7EFF"/>
    <w:rsid w:val="004D2412"/>
    <w:rsid w:val="004D2837"/>
    <w:rsid w:val="004E425C"/>
    <w:rsid w:val="004E48C9"/>
    <w:rsid w:val="004E6FED"/>
    <w:rsid w:val="005039AE"/>
    <w:rsid w:val="00507760"/>
    <w:rsid w:val="00512DB3"/>
    <w:rsid w:val="00545187"/>
    <w:rsid w:val="0057452B"/>
    <w:rsid w:val="005842BA"/>
    <w:rsid w:val="0059383F"/>
    <w:rsid w:val="005A36D5"/>
    <w:rsid w:val="005C258F"/>
    <w:rsid w:val="005C3303"/>
    <w:rsid w:val="005D37C3"/>
    <w:rsid w:val="005E22B6"/>
    <w:rsid w:val="005E69BE"/>
    <w:rsid w:val="005F0A09"/>
    <w:rsid w:val="005F18D9"/>
    <w:rsid w:val="005F730B"/>
    <w:rsid w:val="00603B34"/>
    <w:rsid w:val="00610475"/>
    <w:rsid w:val="00636763"/>
    <w:rsid w:val="00643A8C"/>
    <w:rsid w:val="00650C64"/>
    <w:rsid w:val="00652325"/>
    <w:rsid w:val="006541B0"/>
    <w:rsid w:val="00655176"/>
    <w:rsid w:val="00656AE9"/>
    <w:rsid w:val="00656AF1"/>
    <w:rsid w:val="006644AB"/>
    <w:rsid w:val="00681F25"/>
    <w:rsid w:val="00683AB4"/>
    <w:rsid w:val="00685174"/>
    <w:rsid w:val="006878F1"/>
    <w:rsid w:val="006A0538"/>
    <w:rsid w:val="006A40C0"/>
    <w:rsid w:val="006A4104"/>
    <w:rsid w:val="006B0648"/>
    <w:rsid w:val="006B2B9A"/>
    <w:rsid w:val="006B4976"/>
    <w:rsid w:val="006C2357"/>
    <w:rsid w:val="006D16D0"/>
    <w:rsid w:val="006E1B0B"/>
    <w:rsid w:val="00701239"/>
    <w:rsid w:val="00701A7A"/>
    <w:rsid w:val="007079FB"/>
    <w:rsid w:val="007220FC"/>
    <w:rsid w:val="0073265E"/>
    <w:rsid w:val="00756FF9"/>
    <w:rsid w:val="007611D3"/>
    <w:rsid w:val="00780F29"/>
    <w:rsid w:val="00787BA2"/>
    <w:rsid w:val="007A316B"/>
    <w:rsid w:val="007A4775"/>
    <w:rsid w:val="007B0A06"/>
    <w:rsid w:val="007B636C"/>
    <w:rsid w:val="007E0EE8"/>
    <w:rsid w:val="007E44E6"/>
    <w:rsid w:val="007F1898"/>
    <w:rsid w:val="0080001D"/>
    <w:rsid w:val="00806A03"/>
    <w:rsid w:val="008107A2"/>
    <w:rsid w:val="00814479"/>
    <w:rsid w:val="008512C1"/>
    <w:rsid w:val="00854F40"/>
    <w:rsid w:val="0086505D"/>
    <w:rsid w:val="008733BE"/>
    <w:rsid w:val="0088087C"/>
    <w:rsid w:val="00884BBC"/>
    <w:rsid w:val="0089640C"/>
    <w:rsid w:val="008B1277"/>
    <w:rsid w:val="008D6D12"/>
    <w:rsid w:val="008D74E3"/>
    <w:rsid w:val="008E27E7"/>
    <w:rsid w:val="008F35EF"/>
    <w:rsid w:val="00902FA0"/>
    <w:rsid w:val="00907F81"/>
    <w:rsid w:val="00912519"/>
    <w:rsid w:val="00913BDB"/>
    <w:rsid w:val="00921CD4"/>
    <w:rsid w:val="00932880"/>
    <w:rsid w:val="009340DE"/>
    <w:rsid w:val="00943B43"/>
    <w:rsid w:val="009454CC"/>
    <w:rsid w:val="009530E2"/>
    <w:rsid w:val="009548E6"/>
    <w:rsid w:val="00962505"/>
    <w:rsid w:val="00967E3C"/>
    <w:rsid w:val="009718BA"/>
    <w:rsid w:val="00972248"/>
    <w:rsid w:val="00973B4D"/>
    <w:rsid w:val="00980644"/>
    <w:rsid w:val="00982269"/>
    <w:rsid w:val="009829A3"/>
    <w:rsid w:val="00983F60"/>
    <w:rsid w:val="00996866"/>
    <w:rsid w:val="009A2826"/>
    <w:rsid w:val="009A7E6A"/>
    <w:rsid w:val="009B14FE"/>
    <w:rsid w:val="009B3EFE"/>
    <w:rsid w:val="009B5C7A"/>
    <w:rsid w:val="009B6B70"/>
    <w:rsid w:val="009C724D"/>
    <w:rsid w:val="009E40FA"/>
    <w:rsid w:val="009E6B7B"/>
    <w:rsid w:val="009F6633"/>
    <w:rsid w:val="00A0433F"/>
    <w:rsid w:val="00A06762"/>
    <w:rsid w:val="00A12E56"/>
    <w:rsid w:val="00A12EC8"/>
    <w:rsid w:val="00A40C32"/>
    <w:rsid w:val="00A4306B"/>
    <w:rsid w:val="00A61AE3"/>
    <w:rsid w:val="00A62499"/>
    <w:rsid w:val="00A66C61"/>
    <w:rsid w:val="00A721E6"/>
    <w:rsid w:val="00A72BFB"/>
    <w:rsid w:val="00A8351D"/>
    <w:rsid w:val="00A91173"/>
    <w:rsid w:val="00AA03E2"/>
    <w:rsid w:val="00AA0B93"/>
    <w:rsid w:val="00AB211C"/>
    <w:rsid w:val="00AB7776"/>
    <w:rsid w:val="00AD00D0"/>
    <w:rsid w:val="00AE0D38"/>
    <w:rsid w:val="00AE2E6D"/>
    <w:rsid w:val="00AE4620"/>
    <w:rsid w:val="00AF3F28"/>
    <w:rsid w:val="00B0075C"/>
    <w:rsid w:val="00B01097"/>
    <w:rsid w:val="00B21896"/>
    <w:rsid w:val="00B26149"/>
    <w:rsid w:val="00B35268"/>
    <w:rsid w:val="00B46F47"/>
    <w:rsid w:val="00B52B33"/>
    <w:rsid w:val="00B52F84"/>
    <w:rsid w:val="00B961D5"/>
    <w:rsid w:val="00B97593"/>
    <w:rsid w:val="00BA1E4C"/>
    <w:rsid w:val="00BB2815"/>
    <w:rsid w:val="00BE6BA6"/>
    <w:rsid w:val="00BF497A"/>
    <w:rsid w:val="00C33622"/>
    <w:rsid w:val="00C372C2"/>
    <w:rsid w:val="00C51555"/>
    <w:rsid w:val="00C5229A"/>
    <w:rsid w:val="00C65775"/>
    <w:rsid w:val="00C85A56"/>
    <w:rsid w:val="00C90452"/>
    <w:rsid w:val="00C92DBB"/>
    <w:rsid w:val="00C93BE8"/>
    <w:rsid w:val="00CA295D"/>
    <w:rsid w:val="00CC486C"/>
    <w:rsid w:val="00CD4DCC"/>
    <w:rsid w:val="00CE4AFF"/>
    <w:rsid w:val="00CF03B1"/>
    <w:rsid w:val="00D00FB6"/>
    <w:rsid w:val="00D01803"/>
    <w:rsid w:val="00D03E35"/>
    <w:rsid w:val="00D052C9"/>
    <w:rsid w:val="00D07094"/>
    <w:rsid w:val="00D142A2"/>
    <w:rsid w:val="00D27EFB"/>
    <w:rsid w:val="00D305A0"/>
    <w:rsid w:val="00D361D0"/>
    <w:rsid w:val="00D458C2"/>
    <w:rsid w:val="00D46729"/>
    <w:rsid w:val="00D61FE4"/>
    <w:rsid w:val="00D642F8"/>
    <w:rsid w:val="00D64DA0"/>
    <w:rsid w:val="00D64FDE"/>
    <w:rsid w:val="00D72C7C"/>
    <w:rsid w:val="00D73FC5"/>
    <w:rsid w:val="00D822FD"/>
    <w:rsid w:val="00D83445"/>
    <w:rsid w:val="00D918A4"/>
    <w:rsid w:val="00D92A51"/>
    <w:rsid w:val="00DA77F1"/>
    <w:rsid w:val="00DC5261"/>
    <w:rsid w:val="00DF015E"/>
    <w:rsid w:val="00DF66ED"/>
    <w:rsid w:val="00E06510"/>
    <w:rsid w:val="00E10ABA"/>
    <w:rsid w:val="00E22D9F"/>
    <w:rsid w:val="00E472C9"/>
    <w:rsid w:val="00E674BD"/>
    <w:rsid w:val="00E7032A"/>
    <w:rsid w:val="00E70919"/>
    <w:rsid w:val="00E8025A"/>
    <w:rsid w:val="00E82F2B"/>
    <w:rsid w:val="00E905C1"/>
    <w:rsid w:val="00E91B5E"/>
    <w:rsid w:val="00EB794B"/>
    <w:rsid w:val="00ED139F"/>
    <w:rsid w:val="00ED554D"/>
    <w:rsid w:val="00EF5A1B"/>
    <w:rsid w:val="00F04AE7"/>
    <w:rsid w:val="00F22B81"/>
    <w:rsid w:val="00F23045"/>
    <w:rsid w:val="00F25467"/>
    <w:rsid w:val="00F257D8"/>
    <w:rsid w:val="00F32217"/>
    <w:rsid w:val="00F55F16"/>
    <w:rsid w:val="00F61744"/>
    <w:rsid w:val="00F67BA1"/>
    <w:rsid w:val="00F92B9B"/>
    <w:rsid w:val="00F96A22"/>
    <w:rsid w:val="00FB72E4"/>
    <w:rsid w:val="00FB7413"/>
    <w:rsid w:val="00FC1FA4"/>
    <w:rsid w:val="00FD0300"/>
    <w:rsid w:val="00FF19BD"/>
    <w:rsid w:val="00FF6748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FD3AB"/>
  <w15:docId w15:val="{1F94E835-AE56-4DFD-BFB6-2E8D0FBE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styleId="af3">
    <w:name w:val="Revision"/>
    <w:uiPriority w:val="99"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DC74-7649-4853-9304-E7E5C139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1397</Characters>
  <Application>Microsoft Office Word</Application>
  <DocSecurity>0</DocSecurity>
  <Lines>11</Lines>
  <Paragraphs>3</Paragraphs>
  <ScaleCrop>false</ScaleCrop>
  <Company>SPH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王梓安</cp:lastModifiedBy>
  <cp:revision>5</cp:revision>
  <cp:lastPrinted>2025-11-05T03:28:00Z</cp:lastPrinted>
  <dcterms:created xsi:type="dcterms:W3CDTF">2025-12-31T01:16:00Z</dcterms:created>
  <dcterms:modified xsi:type="dcterms:W3CDTF">2025-12-31T03:09:00Z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de453fe5526f468199e8e26f8f97153b_23</vt:lpwstr>
  </property>
</Properties>
</file>