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B17B">
      <w:pPr>
        <w:spacing w:before="31" w:beforeLines="10" w:line="360" w:lineRule="auto"/>
        <w:rPr>
          <w:rFonts w:hint="eastAsia" w:ascii="宋体" w:hAnsi="宋体" w:cs="宋体"/>
          <w:b/>
          <w:w w:val="95"/>
          <w:sz w:val="24"/>
        </w:rPr>
      </w:pPr>
      <w:r>
        <w:rPr>
          <w:rFonts w:hint="eastAsia" w:ascii="宋体" w:hAnsi="宋体" w:cs="宋体"/>
          <w:b/>
          <w:w w:val="95"/>
          <w:sz w:val="24"/>
        </w:rPr>
        <w:t>证券简称：金帝股份                                       证券代码：603270</w:t>
      </w:r>
    </w:p>
    <w:p w14:paraId="68156EFE">
      <w:pPr>
        <w:jc w:val="center"/>
        <w:rPr>
          <w:rFonts w:hint="eastAsia" w:ascii="宋体" w:hAnsi="宋体" w:cs="宋体"/>
          <w:b/>
          <w:w w:val="95"/>
          <w:sz w:val="32"/>
          <w:szCs w:val="32"/>
        </w:rPr>
      </w:pPr>
    </w:p>
    <w:p w14:paraId="7093D949">
      <w:pPr>
        <w:spacing w:before="31" w:beforeLines="10" w:line="360" w:lineRule="auto"/>
        <w:jc w:val="center"/>
        <w:rPr>
          <w:rFonts w:hint="eastAsia" w:ascii="宋体" w:hAnsi="宋体" w:cs="宋体"/>
          <w:b/>
          <w:w w:val="95"/>
          <w:sz w:val="36"/>
          <w:szCs w:val="36"/>
        </w:rPr>
      </w:pPr>
      <w:r>
        <w:rPr>
          <w:rFonts w:hint="eastAsia" w:ascii="宋体" w:hAnsi="宋体" w:cs="宋体"/>
          <w:b/>
          <w:w w:val="95"/>
          <w:sz w:val="36"/>
          <w:szCs w:val="36"/>
        </w:rPr>
        <w:t>山东金帝精密机械科技股份有限公司</w:t>
      </w:r>
    </w:p>
    <w:p w14:paraId="6734F0E5">
      <w:pPr>
        <w:spacing w:line="360" w:lineRule="auto"/>
        <w:jc w:val="center"/>
        <w:rPr>
          <w:rFonts w:hint="eastAsia" w:ascii="宋体" w:hAnsi="宋体" w:cs="宋体"/>
          <w:b/>
          <w:w w:val="95"/>
          <w:kern w:val="0"/>
          <w:sz w:val="36"/>
          <w:szCs w:val="36"/>
        </w:rPr>
      </w:pPr>
      <w:r>
        <w:rPr>
          <w:rFonts w:hint="eastAsia" w:ascii="宋体" w:hAnsi="宋体" w:cs="宋体"/>
          <w:b/>
          <w:w w:val="95"/>
          <w:kern w:val="0"/>
          <w:sz w:val="36"/>
          <w:szCs w:val="36"/>
        </w:rPr>
        <w:t>投资者关系活动记录表</w:t>
      </w:r>
    </w:p>
    <w:p w14:paraId="075EA852">
      <w:pPr>
        <w:tabs>
          <w:tab w:val="left" w:pos="6106"/>
        </w:tabs>
        <w:spacing w:before="156" w:beforeLines="50" w:after="156" w:afterLines="50"/>
        <w:ind w:firstLine="240" w:firstLineChars="100"/>
        <w:jc w:val="right"/>
        <w:rPr>
          <w:rFonts w:hint="eastAsia" w:ascii="宋体" w:hAnsi="宋体" w:eastAsia="宋体" w:cs="宋体"/>
          <w:sz w:val="24"/>
          <w:lang w:val="en-US" w:eastAsia="zh-CN"/>
        </w:rPr>
      </w:pPr>
      <w:r>
        <w:rPr>
          <w:rFonts w:hint="eastAsia" w:ascii="宋体" w:hAnsi="宋体" w:cs="宋体"/>
          <w:sz w:val="24"/>
        </w:rPr>
        <w:t>编号：2025-00</w:t>
      </w:r>
      <w:r>
        <w:rPr>
          <w:rFonts w:hint="eastAsia" w:ascii="宋体" w:hAnsi="宋体" w:cs="宋体"/>
          <w:sz w:val="24"/>
          <w:lang w:val="en-US" w:eastAsia="zh-CN"/>
        </w:rPr>
        <w:t>9</w:t>
      </w:r>
    </w:p>
    <w:tbl>
      <w:tblPr>
        <w:tblStyle w:val="7"/>
        <w:tblW w:w="90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7395"/>
      </w:tblGrid>
      <w:tr w14:paraId="0B5FE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61A8189F">
            <w:pPr>
              <w:jc w:val="center"/>
              <w:rPr>
                <w:rFonts w:hint="eastAsia" w:ascii="宋体" w:hAnsi="宋体" w:cs="宋体"/>
                <w:bCs/>
                <w:sz w:val="24"/>
              </w:rPr>
            </w:pPr>
            <w:r>
              <w:rPr>
                <w:rFonts w:hint="eastAsia" w:ascii="宋体" w:hAnsi="宋体" w:cs="宋体"/>
                <w:b/>
                <w:bCs/>
                <w:sz w:val="24"/>
              </w:rPr>
              <w:t>投资者关系活动类别</w:t>
            </w:r>
          </w:p>
        </w:tc>
        <w:tc>
          <w:tcPr>
            <w:tcW w:w="7395" w:type="dxa"/>
            <w:tcBorders>
              <w:top w:val="single" w:color="auto" w:sz="12" w:space="0"/>
              <w:left w:val="single" w:color="auto" w:sz="4" w:space="0"/>
              <w:bottom w:val="single" w:color="auto" w:sz="4" w:space="0"/>
              <w:right w:val="single" w:color="auto" w:sz="12" w:space="0"/>
            </w:tcBorders>
            <w:vAlign w:val="center"/>
          </w:tcPr>
          <w:p w14:paraId="17069F61">
            <w:pPr>
              <w:widowControl/>
              <w:tabs>
                <w:tab w:val="left" w:pos="3480"/>
              </w:tabs>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特定对象调研   □分析师会议      □媒体采访</w:t>
            </w:r>
          </w:p>
          <w:p w14:paraId="7C3374B0">
            <w:pPr>
              <w:widowControl/>
              <w:tabs>
                <w:tab w:val="left" w:pos="2040"/>
                <w:tab w:val="left" w:pos="3480"/>
              </w:tabs>
              <w:spacing w:line="360" w:lineRule="auto"/>
              <w:rPr>
                <w:rFonts w:hint="eastAsia" w:ascii="宋体" w:hAnsi="宋体" w:cs="宋体"/>
                <w:bCs/>
                <w:sz w:val="24"/>
              </w:rPr>
            </w:pPr>
            <w:r>
              <w:rPr>
                <w:rFonts w:hint="eastAsia" w:ascii="宋体" w:hAnsi="宋体" w:cs="宋体"/>
                <w:bCs/>
                <w:sz w:val="24"/>
              </w:rPr>
              <w:t>□业绩说明会     □新闻发布会      □路演活动</w:t>
            </w:r>
          </w:p>
          <w:p w14:paraId="1103B995">
            <w:pPr>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 xml:space="preserve">现场参观       □一对一沟通      </w:t>
            </w:r>
            <w:r>
              <w:rPr>
                <w:rFonts w:hint="eastAsia" w:ascii="宋体" w:hAnsi="宋体" w:cs="宋体"/>
                <w:bCs/>
                <w:sz w:val="24"/>
                <w:lang w:eastAsia="zh-CN"/>
              </w:rPr>
              <w:t>☑</w:t>
            </w:r>
            <w:r>
              <w:rPr>
                <w:rFonts w:hint="eastAsia" w:ascii="宋体" w:hAnsi="宋体" w:cs="宋体"/>
                <w:bCs/>
                <w:sz w:val="24"/>
              </w:rPr>
              <w:t>其他（电话会议</w:t>
            </w:r>
            <w:r>
              <w:rPr>
                <w:rFonts w:hint="eastAsia" w:ascii="宋体" w:hAnsi="宋体" w:cs="宋体"/>
                <w:bCs/>
                <w:sz w:val="24"/>
                <w:lang w:eastAsia="zh-CN"/>
              </w:rPr>
              <w:t>、</w:t>
            </w:r>
            <w:r>
              <w:rPr>
                <w:rFonts w:hint="eastAsia" w:ascii="宋体" w:hAnsi="宋体" w:cs="宋体"/>
                <w:bCs/>
                <w:sz w:val="24"/>
                <w:lang w:val="en-US" w:eastAsia="zh-CN"/>
              </w:rPr>
              <w:t>策略会</w:t>
            </w:r>
            <w:r>
              <w:rPr>
                <w:rFonts w:hint="eastAsia" w:ascii="宋体" w:hAnsi="宋体" w:cs="宋体"/>
                <w:bCs/>
                <w:sz w:val="24"/>
              </w:rPr>
              <w:t>）</w:t>
            </w:r>
          </w:p>
        </w:tc>
      </w:tr>
      <w:tr w14:paraId="01E65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235215C">
            <w:pPr>
              <w:jc w:val="center"/>
              <w:rPr>
                <w:rFonts w:hint="eastAsia" w:ascii="宋体" w:hAnsi="宋体" w:cs="宋体"/>
                <w:b/>
                <w:bCs/>
                <w:sz w:val="24"/>
              </w:rPr>
            </w:pPr>
            <w:r>
              <w:rPr>
                <w:rFonts w:hint="eastAsia" w:ascii="宋体" w:hAnsi="宋体" w:cs="宋体"/>
                <w:b/>
                <w:bCs/>
                <w:sz w:val="24"/>
              </w:rPr>
              <w:t>参与单位</w:t>
            </w:r>
          </w:p>
          <w:p w14:paraId="36E3EB3A">
            <w:pPr>
              <w:jc w:val="center"/>
              <w:rPr>
                <w:rFonts w:hint="eastAsia" w:ascii="宋体" w:hAnsi="宋体" w:cs="宋体"/>
                <w:b/>
                <w:bCs/>
                <w:sz w:val="24"/>
              </w:rPr>
            </w:pPr>
            <w:r>
              <w:rPr>
                <w:rFonts w:hint="eastAsia" w:ascii="宋体" w:hAnsi="宋体" w:cs="宋体"/>
                <w:b/>
                <w:bCs/>
                <w:sz w:val="24"/>
              </w:rPr>
              <w:t>名称</w:t>
            </w:r>
          </w:p>
        </w:tc>
        <w:tc>
          <w:tcPr>
            <w:tcW w:w="7395" w:type="dxa"/>
            <w:tcBorders>
              <w:top w:val="single" w:color="auto" w:sz="4" w:space="0"/>
              <w:left w:val="single" w:color="auto" w:sz="4" w:space="0"/>
              <w:bottom w:val="single" w:color="auto" w:sz="4" w:space="0"/>
              <w:right w:val="single" w:color="auto" w:sz="12" w:space="0"/>
            </w:tcBorders>
            <w:vAlign w:val="center"/>
          </w:tcPr>
          <w:p w14:paraId="42010879">
            <w:pPr>
              <w:rPr>
                <w:rFonts w:hint="default" w:ascii="宋体" w:hAnsi="宋体" w:eastAsia="宋体" w:cs="宋体"/>
                <w:sz w:val="24"/>
                <w:lang w:val="en-US" w:eastAsia="zh-CN"/>
              </w:rPr>
            </w:pPr>
            <w:r>
              <w:rPr>
                <w:rFonts w:hint="default" w:ascii="宋体" w:hAnsi="宋体" w:eastAsia="宋体" w:cs="宋体"/>
                <w:sz w:val="24"/>
                <w:lang w:val="en-US" w:eastAsia="zh-CN"/>
              </w:rPr>
              <w:t>上银基金</w:t>
            </w:r>
            <w:r>
              <w:rPr>
                <w:rFonts w:hint="eastAsia" w:ascii="宋体" w:hAnsi="宋体" w:cs="宋体"/>
                <w:sz w:val="24"/>
                <w:lang w:val="en-US" w:eastAsia="zh-CN"/>
              </w:rPr>
              <w:t>、广东正圆私募基金、国信证券、湖南源乘私募基金、长信基金、华夏久盈资产管理、中泰证券、上海河清投资、德邦基金、南方基金、长城财富（北京）投资管理、上海慧琛私募基金、太平资产管理、上海云域投资（排名不分先后）</w:t>
            </w:r>
          </w:p>
        </w:tc>
      </w:tr>
      <w:tr w14:paraId="29E18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6592977">
            <w:pPr>
              <w:jc w:val="center"/>
              <w:rPr>
                <w:rFonts w:hint="eastAsia" w:ascii="宋体" w:hAnsi="宋体" w:cs="宋体"/>
                <w:b/>
                <w:bCs/>
                <w:sz w:val="24"/>
              </w:rPr>
            </w:pPr>
            <w:r>
              <w:rPr>
                <w:rFonts w:hint="eastAsia" w:ascii="宋体" w:hAnsi="宋体" w:cs="宋体"/>
                <w:b/>
                <w:bCs/>
                <w:sz w:val="24"/>
              </w:rPr>
              <w:t>时间</w:t>
            </w:r>
          </w:p>
        </w:tc>
        <w:tc>
          <w:tcPr>
            <w:tcW w:w="7395" w:type="dxa"/>
            <w:tcBorders>
              <w:top w:val="single" w:color="auto" w:sz="4" w:space="0"/>
              <w:left w:val="single" w:color="auto" w:sz="4" w:space="0"/>
              <w:bottom w:val="single" w:color="auto" w:sz="4" w:space="0"/>
              <w:right w:val="single" w:color="auto" w:sz="12" w:space="0"/>
            </w:tcBorders>
            <w:vAlign w:val="center"/>
          </w:tcPr>
          <w:p w14:paraId="4D3AEDB3">
            <w:pPr>
              <w:tabs>
                <w:tab w:val="left" w:pos="2822"/>
              </w:tabs>
              <w:rPr>
                <w:rFonts w:hint="default" w:ascii="宋体" w:hAnsi="宋体" w:eastAsia="宋体" w:cs="宋体"/>
                <w:sz w:val="24"/>
                <w:lang w:val="en-US" w:eastAsia="zh-CN"/>
              </w:rPr>
            </w:pPr>
            <w:r>
              <w:rPr>
                <w:rFonts w:hint="eastAsia" w:ascii="宋体" w:hAnsi="宋体" w:cs="宋体"/>
                <w:sz w:val="24"/>
                <w:lang w:val="en-US" w:eastAsia="zh-CN"/>
              </w:rPr>
              <w:t>12月10日、12月30日</w:t>
            </w:r>
          </w:p>
        </w:tc>
      </w:tr>
      <w:tr w14:paraId="63CD1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FBAF4C7">
            <w:pPr>
              <w:jc w:val="center"/>
              <w:rPr>
                <w:rFonts w:hint="eastAsia" w:ascii="宋体" w:hAnsi="宋体" w:cs="宋体"/>
                <w:b/>
                <w:bCs/>
                <w:sz w:val="24"/>
              </w:rPr>
            </w:pPr>
            <w:r>
              <w:rPr>
                <w:rFonts w:hint="eastAsia" w:ascii="宋体" w:hAnsi="宋体" w:cs="宋体"/>
                <w:b/>
                <w:bCs/>
                <w:sz w:val="24"/>
              </w:rPr>
              <w:t>地点</w:t>
            </w:r>
          </w:p>
        </w:tc>
        <w:tc>
          <w:tcPr>
            <w:tcW w:w="7395" w:type="dxa"/>
            <w:tcBorders>
              <w:top w:val="single" w:color="auto" w:sz="4" w:space="0"/>
              <w:left w:val="single" w:color="auto" w:sz="4" w:space="0"/>
              <w:bottom w:val="single" w:color="auto" w:sz="4" w:space="0"/>
              <w:right w:val="single" w:color="auto" w:sz="12" w:space="0"/>
            </w:tcBorders>
            <w:vAlign w:val="center"/>
          </w:tcPr>
          <w:p w14:paraId="13ABF2BC">
            <w:pPr>
              <w:spacing w:line="360" w:lineRule="auto"/>
              <w:rPr>
                <w:rFonts w:hint="default" w:ascii="宋体" w:hAnsi="宋体" w:eastAsia="宋体" w:cs="宋体"/>
                <w:sz w:val="24"/>
                <w:lang w:val="en-US" w:eastAsia="zh-CN"/>
              </w:rPr>
            </w:pPr>
            <w:r>
              <w:rPr>
                <w:rFonts w:hint="eastAsia" w:ascii="宋体" w:hAnsi="宋体" w:cs="宋体"/>
                <w:sz w:val="24"/>
                <w:lang w:val="en-US" w:eastAsia="zh-CN"/>
              </w:rPr>
              <w:t>腾讯会议、现场调研</w:t>
            </w:r>
          </w:p>
        </w:tc>
      </w:tr>
      <w:tr w14:paraId="57B9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2157BE52">
            <w:pPr>
              <w:jc w:val="center"/>
              <w:rPr>
                <w:rFonts w:hint="eastAsia" w:ascii="宋体" w:hAnsi="宋体" w:cs="宋体"/>
                <w:b/>
                <w:bCs/>
                <w:sz w:val="24"/>
              </w:rPr>
            </w:pPr>
            <w:r>
              <w:rPr>
                <w:rFonts w:hint="eastAsia" w:ascii="宋体" w:hAnsi="宋体" w:cs="宋体"/>
                <w:b/>
                <w:bCs/>
                <w:sz w:val="24"/>
              </w:rPr>
              <w:t>公司接待人员姓名</w:t>
            </w:r>
          </w:p>
        </w:tc>
        <w:tc>
          <w:tcPr>
            <w:tcW w:w="7395" w:type="dxa"/>
            <w:tcBorders>
              <w:top w:val="single" w:color="auto" w:sz="4" w:space="0"/>
              <w:left w:val="single" w:color="auto" w:sz="4" w:space="0"/>
              <w:bottom w:val="single" w:color="auto" w:sz="4" w:space="0"/>
              <w:right w:val="single" w:color="auto" w:sz="12" w:space="0"/>
            </w:tcBorders>
            <w:vAlign w:val="center"/>
          </w:tcPr>
          <w:p w14:paraId="4C0B57AB">
            <w:pPr>
              <w:spacing w:line="360" w:lineRule="auto"/>
              <w:rPr>
                <w:rFonts w:hint="eastAsia" w:ascii="宋体" w:hAnsi="宋体" w:cs="宋体"/>
                <w:sz w:val="24"/>
              </w:rPr>
            </w:pPr>
            <w:r>
              <w:rPr>
                <w:rFonts w:hint="eastAsia" w:ascii="宋体" w:hAnsi="宋体" w:cs="宋体"/>
                <w:sz w:val="24"/>
              </w:rPr>
              <w:t>董事会秘书：薛泰尧</w:t>
            </w:r>
          </w:p>
          <w:p w14:paraId="0D038D8E">
            <w:pPr>
              <w:spacing w:line="360" w:lineRule="auto"/>
              <w:rPr>
                <w:rFonts w:hint="eastAsia" w:ascii="宋体" w:hAnsi="宋体" w:eastAsia="宋体" w:cs="宋体"/>
                <w:sz w:val="24"/>
                <w:lang w:val="en-US" w:eastAsia="zh-CN"/>
              </w:rPr>
            </w:pPr>
            <w:r>
              <w:rPr>
                <w:rFonts w:hint="eastAsia" w:ascii="宋体" w:hAnsi="宋体" w:cs="宋体"/>
                <w:sz w:val="24"/>
              </w:rPr>
              <w:t>证券事务</w:t>
            </w:r>
            <w:r>
              <w:rPr>
                <w:rFonts w:hint="eastAsia" w:ascii="宋体" w:hAnsi="宋体" w:cs="宋体"/>
                <w:sz w:val="24"/>
                <w:lang w:val="en-US" w:eastAsia="zh-CN"/>
              </w:rPr>
              <w:t>代表</w:t>
            </w:r>
            <w:r>
              <w:rPr>
                <w:rFonts w:hint="eastAsia" w:ascii="宋体" w:hAnsi="宋体" w:cs="宋体"/>
                <w:sz w:val="24"/>
              </w:rPr>
              <w:t>：</w:t>
            </w:r>
            <w:r>
              <w:rPr>
                <w:rFonts w:hint="eastAsia" w:ascii="宋体" w:hAnsi="宋体" w:cs="宋体"/>
                <w:sz w:val="24"/>
                <w:lang w:val="en-US" w:eastAsia="zh-CN"/>
              </w:rPr>
              <w:t>赵海军</w:t>
            </w:r>
          </w:p>
        </w:tc>
      </w:tr>
      <w:tr w14:paraId="57B7C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D0FAC2E">
            <w:pPr>
              <w:jc w:val="center"/>
              <w:rPr>
                <w:rFonts w:hint="eastAsia" w:ascii="宋体" w:hAnsi="宋体" w:cs="宋体"/>
                <w:b/>
                <w:bCs/>
                <w:sz w:val="24"/>
              </w:rPr>
            </w:pPr>
            <w:r>
              <w:rPr>
                <w:rFonts w:hint="eastAsia" w:ascii="宋体" w:hAnsi="宋体" w:cs="宋体"/>
                <w:b/>
                <w:bCs/>
                <w:sz w:val="24"/>
              </w:rPr>
              <w:t>投资者关系活动主要内容介绍</w:t>
            </w:r>
          </w:p>
        </w:tc>
        <w:tc>
          <w:tcPr>
            <w:tcW w:w="7395" w:type="dxa"/>
            <w:tcBorders>
              <w:top w:val="single" w:color="auto" w:sz="4" w:space="0"/>
              <w:left w:val="single" w:color="auto" w:sz="4" w:space="0"/>
              <w:bottom w:val="single" w:color="auto" w:sz="4" w:space="0"/>
              <w:right w:val="single" w:color="auto" w:sz="12" w:space="0"/>
            </w:tcBorders>
          </w:tcPr>
          <w:p w14:paraId="3AC08845">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lang w:val="en-US" w:eastAsia="zh-CN"/>
              </w:rPr>
              <w:t>1</w:t>
            </w:r>
            <w:r>
              <w:rPr>
                <w:rFonts w:hint="eastAsia" w:ascii="宋体" w:hAnsi="宋体" w:cs="宋体"/>
                <w:b/>
                <w:bCs/>
                <w:szCs w:val="21"/>
              </w:rPr>
              <w:t>、公司的定转子产品业务及未来发展规划</w:t>
            </w:r>
          </w:p>
          <w:p w14:paraId="00E0EF6A">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 xml:space="preserve">公司新能源电驱动定转子系列产品前三季度实现收入27,587.28万元，同比增长280.62%。主要系前期开发的项目产品转入量产阶段带动量产项目增加、下游客户增量所致。 </w:t>
            </w:r>
          </w:p>
          <w:p w14:paraId="6CB52A27">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根据国家建设强大国内市场的政策引导，公司以自主知识产权的铝材配方为基石，利用异步电机离心铸铝转子的行业先发优势，拓展应用客户及下游应用场景，以齐套供应带动定子产品的业务拓展，优选高质量产品服务于优质客户，</w:t>
            </w:r>
            <w:bookmarkStart w:id="0" w:name="_GoBack"/>
            <w:bookmarkEnd w:id="0"/>
            <w:r>
              <w:rPr>
                <w:rFonts w:hint="eastAsia" w:ascii="宋体" w:hAnsi="宋体" w:cs="宋体"/>
                <w:szCs w:val="21"/>
                <w:lang w:eastAsia="zh-CN"/>
              </w:rPr>
              <w:t>目前，公司电驱动系统定转子系列产品有98个产品项目，其中：57个产品已量产，3个产品为PPAP样品交付中，9个产品为C样或OTS样品交付中，29个产品为A样或B样交付中。随着产能释放、产线规模化复制及新项目持续量产，公司规模效应将加速显现，推动盈利能力与市场空间同步提升。</w:t>
            </w:r>
          </w:p>
          <w:p w14:paraId="35D64578">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为满足市场绝大部分客户应用需求，公司自主开发了3个异步电机定转子平台（定子外径分别为220mm、200mm和180mm），通过更改叠长，可广泛应用于400V及800V水冷及油冷电机，相关产线/模具、铁芯/铜线/铜排/过盈压环等零部件、绕组结构专利/高强高导铝材配方等平台化技术可实现全部或者部分的共用，可助力客户优化定转子产品的开发速度、成本管控、质量可靠性等，提升公司的产品竞争力。</w:t>
            </w:r>
          </w:p>
          <w:p w14:paraId="2971D51F">
            <w:pPr>
              <w:pStyle w:val="17"/>
              <w:tabs>
                <w:tab w:val="left" w:pos="788"/>
              </w:tabs>
              <w:spacing w:line="360" w:lineRule="auto"/>
              <w:ind w:firstLine="0" w:firstLineChars="0"/>
              <w:rPr>
                <w:rFonts w:hint="default" w:ascii="宋体" w:hAnsi="宋体" w:cs="宋体"/>
                <w:b/>
                <w:bCs/>
                <w:szCs w:val="21"/>
                <w:lang w:val="en-US" w:eastAsia="zh-CN"/>
              </w:rPr>
            </w:pPr>
            <w:r>
              <w:rPr>
                <w:rFonts w:hint="eastAsia" w:ascii="宋体" w:hAnsi="宋体" w:cs="宋体"/>
                <w:b/>
                <w:bCs/>
                <w:szCs w:val="21"/>
                <w:lang w:val="en-US" w:eastAsia="zh-CN"/>
              </w:rPr>
              <w:t>2、请介绍一下公司风电保持架目前业务收入情况及未来发展</w:t>
            </w:r>
          </w:p>
          <w:p w14:paraId="348BE049">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公司前三季度风电领域系列产品实现收入31,159.22万元，同比增长85.94%，主要系公司风电齿轮箱轴承保持架、主轴轴承保持架同比交付增加以及新产品滑动轴承推力片批量交付所致。</w:t>
            </w:r>
          </w:p>
          <w:p w14:paraId="19ED8494">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从行业数据方面看，根据国家能源局发布1-9月份全国电力工业统计数据。截至9月底，全国累计发电装机容量37.2亿千瓦，同比增长17.5%。其中，太阳能发电装机容量11.3亿千瓦，同比增长45.7%；风电装机容量5.8亿千瓦，同比增长21.3%。1-9月份，全国发电设备累计平均利用2368小时，比上年同期降低251小时。1-9月，全国新增风电并网装机6,109万千瓦，同比增加2,197万千瓦。另外，2024年1到9月份中国风电不含框架招标项目总规模为 130.336GW（含国际项目），同比上涨6.15%。未来，公司风电领域产品业务将随着国家加快建设新型能源体系的政策实施，公司结合市场需求积极开发新产品、拓展下游新客户、增加市场客户端应用等，以保持较好的增长态势。</w:t>
            </w:r>
          </w:p>
          <w:p w14:paraId="2296C3D1">
            <w:pPr>
              <w:pStyle w:val="17"/>
              <w:tabs>
                <w:tab w:val="left" w:pos="788"/>
              </w:tabs>
              <w:spacing w:line="360" w:lineRule="auto"/>
              <w:ind w:firstLine="0" w:firstLineChars="0"/>
              <w:rPr>
                <w:rFonts w:hint="eastAsia" w:ascii="宋体" w:hAnsi="宋体" w:eastAsia="宋体" w:cs="宋体"/>
                <w:b/>
                <w:bCs/>
                <w:szCs w:val="21"/>
                <w:lang w:val="en-US" w:eastAsia="zh-CN"/>
              </w:rPr>
            </w:pPr>
            <w:r>
              <w:rPr>
                <w:rFonts w:hint="eastAsia" w:ascii="宋体" w:hAnsi="宋体" w:cs="宋体"/>
                <w:b/>
                <w:bCs/>
                <w:szCs w:val="21"/>
                <w:lang w:val="en-US" w:eastAsia="zh-CN"/>
              </w:rPr>
              <w:t>3、公司柔轮初坯的产品进展情况</w:t>
            </w:r>
          </w:p>
          <w:p w14:paraId="243D74D3">
            <w:pPr>
              <w:pStyle w:val="17"/>
              <w:tabs>
                <w:tab w:val="left" w:pos="788"/>
              </w:tabs>
              <w:spacing w:line="360" w:lineRule="auto"/>
              <w:rPr>
                <w:rFonts w:hint="eastAsia" w:ascii="宋体" w:hAnsi="宋体" w:cs="宋体"/>
                <w:szCs w:val="21"/>
              </w:rPr>
            </w:pPr>
            <w:r>
              <w:rPr>
                <w:rFonts w:hint="eastAsia" w:ascii="宋体" w:hAnsi="宋体" w:cs="宋体"/>
                <w:szCs w:val="21"/>
              </w:rPr>
              <w:t>公司在机器人谐波减速机柔轮初坯产品研发方面，创新采用精密冲压替代锻造工艺，联合产业链上下游开发特种材料，成功实现进口替代，目前该产品晶粒度等级测试指标在谐波柔轮的常用范围内，达到高疲劳强度要求。同时公司持续进行柔轮初坯精加工工序的研发试制，打通公司柔轮初坯成型、精加工前序与客户精加工后序、珩磨内孔、滚齿等工序无缝衔接，实现与客户的零距离协同，减少工装夹具等重复投入，降低整体产业链成本，实现成本性能优势。</w:t>
            </w:r>
          </w:p>
          <w:p w14:paraId="369BA12F">
            <w:pPr>
              <w:pStyle w:val="17"/>
              <w:tabs>
                <w:tab w:val="left" w:pos="788"/>
              </w:tabs>
              <w:spacing w:line="360" w:lineRule="auto"/>
              <w:rPr>
                <w:rFonts w:hint="eastAsia" w:ascii="宋体" w:hAnsi="宋体" w:cs="宋体"/>
                <w:szCs w:val="21"/>
              </w:rPr>
            </w:pPr>
            <w:r>
              <w:rPr>
                <w:rFonts w:hint="eastAsia" w:ascii="宋体" w:hAnsi="宋体" w:cs="宋体"/>
                <w:szCs w:val="21"/>
              </w:rPr>
              <w:t>在应用测试方面，根据其中一个测试客户的内部耐久测试报告，公司提供的冲压工艺生产的柔轮初坯产品（25型号）与该客户使用的锻造工艺生产的产品装配同型号谐波减速器，在输出轴扭矩200-250Nm等相同条件下进行加速测试，联轴器油脂干涸前未发现柔轮破裂现象，公司冲压工艺生产的柔轮初坯与对照测试的锻造工艺生产的产品的品质相当。因各下游客户对不同的终端产品应用场景有不同的要求，其测试方式、测试条件、测试设备、标准要求等可能会存在差异，该单一客户的样品内部测试结果不代表满足下游其他客户的使用要求、测试条件和标准。公司将持续推进产品型号拓展研发测试，同时积极拓展产业链客户，为后续量产和市场拓展奠定了基础，提升新质生产力。截至目前，柔轮初坯相关产品尚未形成收入，对公司业绩不形成重大影响。</w:t>
            </w:r>
          </w:p>
        </w:tc>
      </w:tr>
      <w:tr w14:paraId="6E4A1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EF68EFF">
            <w:pPr>
              <w:jc w:val="center"/>
              <w:rPr>
                <w:rFonts w:hint="eastAsia" w:ascii="宋体" w:hAnsi="宋体" w:cs="宋体"/>
                <w:b/>
                <w:bCs/>
                <w:sz w:val="24"/>
              </w:rPr>
            </w:pPr>
            <w:r>
              <w:rPr>
                <w:rFonts w:hint="eastAsia" w:ascii="宋体" w:hAnsi="宋体" w:cs="宋体"/>
                <w:b/>
                <w:bCs/>
                <w:sz w:val="24"/>
              </w:rPr>
              <w:t>附件清单</w:t>
            </w:r>
          </w:p>
          <w:p w14:paraId="3757BE4B">
            <w:pPr>
              <w:jc w:val="center"/>
              <w:rPr>
                <w:rFonts w:hint="eastAsia" w:ascii="宋体" w:hAnsi="宋体" w:cs="宋体"/>
                <w:b/>
                <w:bCs/>
                <w:sz w:val="24"/>
              </w:rPr>
            </w:pPr>
            <w:r>
              <w:rPr>
                <w:rFonts w:hint="eastAsia" w:ascii="宋体" w:hAnsi="宋体" w:cs="宋体"/>
                <w:b/>
                <w:bCs/>
                <w:sz w:val="24"/>
              </w:rPr>
              <w:t>（如有）</w:t>
            </w:r>
          </w:p>
        </w:tc>
        <w:tc>
          <w:tcPr>
            <w:tcW w:w="7395" w:type="dxa"/>
            <w:tcBorders>
              <w:top w:val="single" w:color="auto" w:sz="4" w:space="0"/>
              <w:left w:val="single" w:color="auto" w:sz="4" w:space="0"/>
              <w:bottom w:val="single" w:color="auto" w:sz="4" w:space="0"/>
              <w:right w:val="single" w:color="auto" w:sz="12" w:space="0"/>
            </w:tcBorders>
            <w:vAlign w:val="center"/>
          </w:tcPr>
          <w:p w14:paraId="59290502">
            <w:pPr>
              <w:spacing w:line="360" w:lineRule="auto"/>
              <w:rPr>
                <w:rFonts w:hint="eastAsia" w:ascii="宋体" w:hAnsi="宋体" w:cs="宋体"/>
                <w:sz w:val="24"/>
              </w:rPr>
            </w:pPr>
            <w:r>
              <w:rPr>
                <w:rFonts w:hint="eastAsia" w:ascii="宋体" w:hAnsi="宋体" w:cs="宋体"/>
                <w:sz w:val="24"/>
              </w:rPr>
              <w:t>无</w:t>
            </w:r>
          </w:p>
        </w:tc>
      </w:tr>
    </w:tbl>
    <w:p w14:paraId="06569A5F">
      <w:pPr>
        <w:widowControl/>
        <w:jc w:val="left"/>
        <w:rPr>
          <w:rFonts w:hint="eastAsia" w:ascii="宋体" w:hAnsi="宋体" w:cs="宋体"/>
        </w:rPr>
      </w:pPr>
    </w:p>
    <w:sectPr>
      <w:headerReference r:id="rId3" w:type="default"/>
      <w:pgSz w:w="12240" w:h="15840"/>
      <w:pgMar w:top="986" w:right="1800" w:bottom="986"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99F1">
    <w:pPr>
      <w:pStyle w:val="5"/>
      <w:rPr>
        <w:rFonts w:hint="eastAsia" w:ascii="楷体" w:hAnsi="楷体" w:eastAsia="楷体"/>
      </w:rPr>
    </w:pPr>
    <w:r>
      <w:rPr>
        <w:rFonts w:hint="eastAsia" w:ascii="楷体" w:hAnsi="楷体" w:eastAsia="楷体"/>
      </w:rPr>
      <w:t xml:space="preserve">山东金帝精密机械科技股份有限公司 </w:t>
    </w:r>
    <w:r>
      <w:rPr>
        <w:rFonts w:ascii="楷体" w:hAnsi="楷体" w:eastAsia="楷体"/>
      </w:rPr>
      <w:t xml:space="preserve">                                          </w:t>
    </w:r>
    <w:r>
      <w:rPr>
        <w:rFonts w:hint="eastAsia" w:ascii="楷体" w:hAnsi="楷体" w:eastAsia="楷体"/>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GQxNmMzYTcwYjk0ZmU1Y2E2MWRhMzUyNWU5ZWQifQ=="/>
  </w:docVars>
  <w:rsids>
    <w:rsidRoot w:val="00172A27"/>
    <w:rsid w:val="00000D18"/>
    <w:rsid w:val="000076A8"/>
    <w:rsid w:val="00013B2C"/>
    <w:rsid w:val="000251BC"/>
    <w:rsid w:val="00031EDC"/>
    <w:rsid w:val="00032FBF"/>
    <w:rsid w:val="0004190F"/>
    <w:rsid w:val="0006665D"/>
    <w:rsid w:val="000701C4"/>
    <w:rsid w:val="000752AD"/>
    <w:rsid w:val="000B7145"/>
    <w:rsid w:val="000C0917"/>
    <w:rsid w:val="000C646D"/>
    <w:rsid w:val="000D1EEA"/>
    <w:rsid w:val="000E0A29"/>
    <w:rsid w:val="000E4A02"/>
    <w:rsid w:val="000E4CDF"/>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1F217D"/>
    <w:rsid w:val="002051B0"/>
    <w:rsid w:val="0021568D"/>
    <w:rsid w:val="002421F3"/>
    <w:rsid w:val="0025795E"/>
    <w:rsid w:val="002866B8"/>
    <w:rsid w:val="002A590A"/>
    <w:rsid w:val="002A5DDA"/>
    <w:rsid w:val="002B1EA1"/>
    <w:rsid w:val="002B2792"/>
    <w:rsid w:val="002B5738"/>
    <w:rsid w:val="002C7C5F"/>
    <w:rsid w:val="003046C0"/>
    <w:rsid w:val="003146EB"/>
    <w:rsid w:val="003168B2"/>
    <w:rsid w:val="00325AE8"/>
    <w:rsid w:val="00342805"/>
    <w:rsid w:val="00356C12"/>
    <w:rsid w:val="0036096D"/>
    <w:rsid w:val="003712F0"/>
    <w:rsid w:val="00372B7B"/>
    <w:rsid w:val="0038126C"/>
    <w:rsid w:val="00382B1C"/>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404CA"/>
    <w:rsid w:val="005515C2"/>
    <w:rsid w:val="00556BB3"/>
    <w:rsid w:val="0056159D"/>
    <w:rsid w:val="00563FA2"/>
    <w:rsid w:val="005703A5"/>
    <w:rsid w:val="005761E2"/>
    <w:rsid w:val="005858D9"/>
    <w:rsid w:val="0059023D"/>
    <w:rsid w:val="00593A35"/>
    <w:rsid w:val="005B02EB"/>
    <w:rsid w:val="005D4B0E"/>
    <w:rsid w:val="005F5AB1"/>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11238"/>
    <w:rsid w:val="0071206F"/>
    <w:rsid w:val="00712771"/>
    <w:rsid w:val="00716A70"/>
    <w:rsid w:val="00720F84"/>
    <w:rsid w:val="00721266"/>
    <w:rsid w:val="0073320D"/>
    <w:rsid w:val="00736A80"/>
    <w:rsid w:val="00742D08"/>
    <w:rsid w:val="007460EB"/>
    <w:rsid w:val="00746C2A"/>
    <w:rsid w:val="007713DA"/>
    <w:rsid w:val="00771BAA"/>
    <w:rsid w:val="00792EEF"/>
    <w:rsid w:val="007A4530"/>
    <w:rsid w:val="007A6F30"/>
    <w:rsid w:val="007A7D7C"/>
    <w:rsid w:val="007B371D"/>
    <w:rsid w:val="007B4CF9"/>
    <w:rsid w:val="007D50CC"/>
    <w:rsid w:val="007D738A"/>
    <w:rsid w:val="007F2858"/>
    <w:rsid w:val="007F717B"/>
    <w:rsid w:val="007F74C6"/>
    <w:rsid w:val="007F7552"/>
    <w:rsid w:val="00800D77"/>
    <w:rsid w:val="008046CB"/>
    <w:rsid w:val="00804B8F"/>
    <w:rsid w:val="00804DE1"/>
    <w:rsid w:val="008057B4"/>
    <w:rsid w:val="008405F3"/>
    <w:rsid w:val="0084397E"/>
    <w:rsid w:val="008525B9"/>
    <w:rsid w:val="00854B7A"/>
    <w:rsid w:val="00866709"/>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59ED"/>
    <w:rsid w:val="0097726C"/>
    <w:rsid w:val="0098145D"/>
    <w:rsid w:val="009830FD"/>
    <w:rsid w:val="00986A7C"/>
    <w:rsid w:val="009918C4"/>
    <w:rsid w:val="009A084D"/>
    <w:rsid w:val="009A7E63"/>
    <w:rsid w:val="009B005C"/>
    <w:rsid w:val="009B0125"/>
    <w:rsid w:val="009B58AF"/>
    <w:rsid w:val="009C379C"/>
    <w:rsid w:val="009D40D8"/>
    <w:rsid w:val="009D718A"/>
    <w:rsid w:val="009E1B35"/>
    <w:rsid w:val="009E74AD"/>
    <w:rsid w:val="009F29D5"/>
    <w:rsid w:val="009F3F06"/>
    <w:rsid w:val="009F539F"/>
    <w:rsid w:val="00A0202F"/>
    <w:rsid w:val="00A05634"/>
    <w:rsid w:val="00A127DE"/>
    <w:rsid w:val="00A24A6E"/>
    <w:rsid w:val="00A55870"/>
    <w:rsid w:val="00A62859"/>
    <w:rsid w:val="00A6428F"/>
    <w:rsid w:val="00A73B46"/>
    <w:rsid w:val="00A82D19"/>
    <w:rsid w:val="00A91197"/>
    <w:rsid w:val="00A93B61"/>
    <w:rsid w:val="00A950CC"/>
    <w:rsid w:val="00A96029"/>
    <w:rsid w:val="00AA1054"/>
    <w:rsid w:val="00AA36D7"/>
    <w:rsid w:val="00AB192F"/>
    <w:rsid w:val="00AB3F05"/>
    <w:rsid w:val="00AC1815"/>
    <w:rsid w:val="00AC36A7"/>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64EA"/>
    <w:rsid w:val="00C166B8"/>
    <w:rsid w:val="00C3372B"/>
    <w:rsid w:val="00C358B5"/>
    <w:rsid w:val="00C42CBD"/>
    <w:rsid w:val="00C4451C"/>
    <w:rsid w:val="00C47C64"/>
    <w:rsid w:val="00C51B18"/>
    <w:rsid w:val="00C5461F"/>
    <w:rsid w:val="00C61A3F"/>
    <w:rsid w:val="00C63FD3"/>
    <w:rsid w:val="00C70626"/>
    <w:rsid w:val="00C711F7"/>
    <w:rsid w:val="00C95434"/>
    <w:rsid w:val="00CA27D4"/>
    <w:rsid w:val="00CA2A45"/>
    <w:rsid w:val="00CA6F63"/>
    <w:rsid w:val="00CC62F4"/>
    <w:rsid w:val="00CC75B4"/>
    <w:rsid w:val="00CE3455"/>
    <w:rsid w:val="00CF0E73"/>
    <w:rsid w:val="00CF47E1"/>
    <w:rsid w:val="00CF6E94"/>
    <w:rsid w:val="00D03EE5"/>
    <w:rsid w:val="00D0634E"/>
    <w:rsid w:val="00D1386F"/>
    <w:rsid w:val="00D156EC"/>
    <w:rsid w:val="00D320C3"/>
    <w:rsid w:val="00D40929"/>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1942"/>
    <w:rsid w:val="00FE2E5A"/>
    <w:rsid w:val="00FF5BE3"/>
    <w:rsid w:val="021F2F1C"/>
    <w:rsid w:val="02350F57"/>
    <w:rsid w:val="028B5457"/>
    <w:rsid w:val="03791753"/>
    <w:rsid w:val="05FE4D9E"/>
    <w:rsid w:val="062A4F87"/>
    <w:rsid w:val="065D7953"/>
    <w:rsid w:val="06624721"/>
    <w:rsid w:val="06B50CF4"/>
    <w:rsid w:val="06C625F2"/>
    <w:rsid w:val="06FA704F"/>
    <w:rsid w:val="07AD40C1"/>
    <w:rsid w:val="082C7F0C"/>
    <w:rsid w:val="088755BB"/>
    <w:rsid w:val="08EE04EE"/>
    <w:rsid w:val="093E76C7"/>
    <w:rsid w:val="09574760"/>
    <w:rsid w:val="09714747"/>
    <w:rsid w:val="09D019BF"/>
    <w:rsid w:val="0A1026E6"/>
    <w:rsid w:val="0A63050D"/>
    <w:rsid w:val="0AEE023D"/>
    <w:rsid w:val="0BBA3B06"/>
    <w:rsid w:val="0BD71E82"/>
    <w:rsid w:val="0C8A2C23"/>
    <w:rsid w:val="0DF227A4"/>
    <w:rsid w:val="0E433671"/>
    <w:rsid w:val="0E734FCF"/>
    <w:rsid w:val="0E744C7A"/>
    <w:rsid w:val="0E76252A"/>
    <w:rsid w:val="0E7917D2"/>
    <w:rsid w:val="0E8D1CD1"/>
    <w:rsid w:val="0EAB2B6B"/>
    <w:rsid w:val="0ECF2B6F"/>
    <w:rsid w:val="0F6C1DB4"/>
    <w:rsid w:val="0F6F5A6E"/>
    <w:rsid w:val="0FB35FED"/>
    <w:rsid w:val="0FB41ADB"/>
    <w:rsid w:val="104135F9"/>
    <w:rsid w:val="1136523C"/>
    <w:rsid w:val="11DB182B"/>
    <w:rsid w:val="12541D09"/>
    <w:rsid w:val="12B83A1C"/>
    <w:rsid w:val="13084BF5"/>
    <w:rsid w:val="134A4EBA"/>
    <w:rsid w:val="13681676"/>
    <w:rsid w:val="13804818"/>
    <w:rsid w:val="15700933"/>
    <w:rsid w:val="15872EC9"/>
    <w:rsid w:val="163D4862"/>
    <w:rsid w:val="16AB4A88"/>
    <w:rsid w:val="17CF06B3"/>
    <w:rsid w:val="18A62EAB"/>
    <w:rsid w:val="1AB248CF"/>
    <w:rsid w:val="1AF57E02"/>
    <w:rsid w:val="1B961A2C"/>
    <w:rsid w:val="1C281B11"/>
    <w:rsid w:val="1C393FCE"/>
    <w:rsid w:val="1C4A1A87"/>
    <w:rsid w:val="1D5F5185"/>
    <w:rsid w:val="1D646B79"/>
    <w:rsid w:val="1D94745E"/>
    <w:rsid w:val="1E2F53D8"/>
    <w:rsid w:val="1E543091"/>
    <w:rsid w:val="1F114ADE"/>
    <w:rsid w:val="1F155ECE"/>
    <w:rsid w:val="1F3031B6"/>
    <w:rsid w:val="1FF673CA"/>
    <w:rsid w:val="20FC3C98"/>
    <w:rsid w:val="21507B54"/>
    <w:rsid w:val="219D2F20"/>
    <w:rsid w:val="22827E15"/>
    <w:rsid w:val="22AF4D3A"/>
    <w:rsid w:val="2370112B"/>
    <w:rsid w:val="23A83C63"/>
    <w:rsid w:val="23DB3F63"/>
    <w:rsid w:val="24465EFD"/>
    <w:rsid w:val="24DE5462"/>
    <w:rsid w:val="25333A00"/>
    <w:rsid w:val="2562533C"/>
    <w:rsid w:val="269229A8"/>
    <w:rsid w:val="269B372A"/>
    <w:rsid w:val="26DA5C3E"/>
    <w:rsid w:val="2745371A"/>
    <w:rsid w:val="27CE7A10"/>
    <w:rsid w:val="27F600B2"/>
    <w:rsid w:val="28EA2F04"/>
    <w:rsid w:val="29F71032"/>
    <w:rsid w:val="2AEF5D34"/>
    <w:rsid w:val="2B1B32F7"/>
    <w:rsid w:val="2B3F3269"/>
    <w:rsid w:val="2C0E57B8"/>
    <w:rsid w:val="2C1A3224"/>
    <w:rsid w:val="2C9C2162"/>
    <w:rsid w:val="2CBA5C99"/>
    <w:rsid w:val="2D1759B5"/>
    <w:rsid w:val="2D4402E1"/>
    <w:rsid w:val="2D9D235F"/>
    <w:rsid w:val="2E00644A"/>
    <w:rsid w:val="2E56402D"/>
    <w:rsid w:val="2E7712D2"/>
    <w:rsid w:val="2F8D1C03"/>
    <w:rsid w:val="30DE13F4"/>
    <w:rsid w:val="323C47BB"/>
    <w:rsid w:val="3321133C"/>
    <w:rsid w:val="33615BDC"/>
    <w:rsid w:val="342A2472"/>
    <w:rsid w:val="34364781"/>
    <w:rsid w:val="34FC2660"/>
    <w:rsid w:val="360C6034"/>
    <w:rsid w:val="36283D5A"/>
    <w:rsid w:val="3680281D"/>
    <w:rsid w:val="36C2479A"/>
    <w:rsid w:val="36F079A3"/>
    <w:rsid w:val="372206EE"/>
    <w:rsid w:val="37586C7E"/>
    <w:rsid w:val="38174ABC"/>
    <w:rsid w:val="38EF7122"/>
    <w:rsid w:val="3A396F6B"/>
    <w:rsid w:val="3B1575DB"/>
    <w:rsid w:val="3CDF3E63"/>
    <w:rsid w:val="3D235CB1"/>
    <w:rsid w:val="3D54230E"/>
    <w:rsid w:val="3DB039E8"/>
    <w:rsid w:val="3F3B5533"/>
    <w:rsid w:val="3F855194"/>
    <w:rsid w:val="3F9E5AF5"/>
    <w:rsid w:val="3FFB177B"/>
    <w:rsid w:val="406A5594"/>
    <w:rsid w:val="408D14D1"/>
    <w:rsid w:val="41A87A44"/>
    <w:rsid w:val="41B15F81"/>
    <w:rsid w:val="41BE41FA"/>
    <w:rsid w:val="41E11C60"/>
    <w:rsid w:val="42417305"/>
    <w:rsid w:val="42777F20"/>
    <w:rsid w:val="42A45AE6"/>
    <w:rsid w:val="42B51AA1"/>
    <w:rsid w:val="42CB6BCE"/>
    <w:rsid w:val="42DD053E"/>
    <w:rsid w:val="43892C26"/>
    <w:rsid w:val="43D81D74"/>
    <w:rsid w:val="44A26356"/>
    <w:rsid w:val="44A616A1"/>
    <w:rsid w:val="457F7836"/>
    <w:rsid w:val="45A51959"/>
    <w:rsid w:val="462C02CC"/>
    <w:rsid w:val="47AA594C"/>
    <w:rsid w:val="47EA3E68"/>
    <w:rsid w:val="485E5304"/>
    <w:rsid w:val="486E77C8"/>
    <w:rsid w:val="489772F0"/>
    <w:rsid w:val="48981C49"/>
    <w:rsid w:val="493E26B7"/>
    <w:rsid w:val="49D42A65"/>
    <w:rsid w:val="4A4F27DB"/>
    <w:rsid w:val="4AFA62A3"/>
    <w:rsid w:val="4B48362D"/>
    <w:rsid w:val="4B8816A1"/>
    <w:rsid w:val="4BA12BC2"/>
    <w:rsid w:val="4C0D2006"/>
    <w:rsid w:val="4C8074D6"/>
    <w:rsid w:val="4C9C48D0"/>
    <w:rsid w:val="4EEE652E"/>
    <w:rsid w:val="4EF63225"/>
    <w:rsid w:val="50646EE4"/>
    <w:rsid w:val="51295E33"/>
    <w:rsid w:val="51633E2C"/>
    <w:rsid w:val="53257A81"/>
    <w:rsid w:val="53424C8B"/>
    <w:rsid w:val="53AB6CD4"/>
    <w:rsid w:val="546D21DB"/>
    <w:rsid w:val="556331D3"/>
    <w:rsid w:val="55AD3750"/>
    <w:rsid w:val="56DB79FF"/>
    <w:rsid w:val="57392849"/>
    <w:rsid w:val="5750754E"/>
    <w:rsid w:val="580A7B81"/>
    <w:rsid w:val="593F3A1A"/>
    <w:rsid w:val="59871AC3"/>
    <w:rsid w:val="59D309F0"/>
    <w:rsid w:val="5A1A017F"/>
    <w:rsid w:val="5A364A3A"/>
    <w:rsid w:val="5A916CD3"/>
    <w:rsid w:val="5AFC6067"/>
    <w:rsid w:val="5BA16936"/>
    <w:rsid w:val="5BE709C6"/>
    <w:rsid w:val="5BEA4B0C"/>
    <w:rsid w:val="5BFA166A"/>
    <w:rsid w:val="5C5B500F"/>
    <w:rsid w:val="5D470628"/>
    <w:rsid w:val="5DB01CA7"/>
    <w:rsid w:val="5DF179D9"/>
    <w:rsid w:val="5E396414"/>
    <w:rsid w:val="5E6E0245"/>
    <w:rsid w:val="5ED15115"/>
    <w:rsid w:val="5ED82947"/>
    <w:rsid w:val="5F1A6ABC"/>
    <w:rsid w:val="5F3D09FC"/>
    <w:rsid w:val="5F571ABE"/>
    <w:rsid w:val="604E62A2"/>
    <w:rsid w:val="608D588B"/>
    <w:rsid w:val="612A4AE1"/>
    <w:rsid w:val="61AE4130"/>
    <w:rsid w:val="61FE5408"/>
    <w:rsid w:val="628D6DFD"/>
    <w:rsid w:val="62DE42A4"/>
    <w:rsid w:val="64421FF9"/>
    <w:rsid w:val="647B148B"/>
    <w:rsid w:val="65444B12"/>
    <w:rsid w:val="660202AA"/>
    <w:rsid w:val="67BD3F72"/>
    <w:rsid w:val="67DC5256"/>
    <w:rsid w:val="67E5006B"/>
    <w:rsid w:val="68523C9C"/>
    <w:rsid w:val="69735746"/>
    <w:rsid w:val="69F60125"/>
    <w:rsid w:val="6A4946F9"/>
    <w:rsid w:val="6A694D9B"/>
    <w:rsid w:val="6ADF0C04"/>
    <w:rsid w:val="6B3E22B7"/>
    <w:rsid w:val="6B6E799E"/>
    <w:rsid w:val="6B8C6F93"/>
    <w:rsid w:val="6C266F3E"/>
    <w:rsid w:val="6C835B15"/>
    <w:rsid w:val="6D8601D1"/>
    <w:rsid w:val="6D88378A"/>
    <w:rsid w:val="6E254810"/>
    <w:rsid w:val="6E9248C1"/>
    <w:rsid w:val="6EE46909"/>
    <w:rsid w:val="6F2226D7"/>
    <w:rsid w:val="6F3A28AE"/>
    <w:rsid w:val="6F581E54"/>
    <w:rsid w:val="6FB62831"/>
    <w:rsid w:val="70CE7706"/>
    <w:rsid w:val="70DD4CE7"/>
    <w:rsid w:val="711F0FA6"/>
    <w:rsid w:val="7143510B"/>
    <w:rsid w:val="71C034F3"/>
    <w:rsid w:val="72946600"/>
    <w:rsid w:val="729D1EC1"/>
    <w:rsid w:val="72C53305"/>
    <w:rsid w:val="72C57C74"/>
    <w:rsid w:val="72CE7E91"/>
    <w:rsid w:val="72D40618"/>
    <w:rsid w:val="730B5916"/>
    <w:rsid w:val="730E401F"/>
    <w:rsid w:val="735C724B"/>
    <w:rsid w:val="73620572"/>
    <w:rsid w:val="73775FE8"/>
    <w:rsid w:val="7399049F"/>
    <w:rsid w:val="73B10D49"/>
    <w:rsid w:val="74E268CD"/>
    <w:rsid w:val="74F57957"/>
    <w:rsid w:val="74FC2707"/>
    <w:rsid w:val="75A60C51"/>
    <w:rsid w:val="75AD70BD"/>
    <w:rsid w:val="75EE10A6"/>
    <w:rsid w:val="76132001"/>
    <w:rsid w:val="763B3A90"/>
    <w:rsid w:val="77594010"/>
    <w:rsid w:val="783830F2"/>
    <w:rsid w:val="784C05C2"/>
    <w:rsid w:val="784F4498"/>
    <w:rsid w:val="78BA2D1C"/>
    <w:rsid w:val="79865022"/>
    <w:rsid w:val="7A787CE0"/>
    <w:rsid w:val="7AA634A2"/>
    <w:rsid w:val="7B3B1E3C"/>
    <w:rsid w:val="7B8B16C1"/>
    <w:rsid w:val="7BB557D8"/>
    <w:rsid w:val="7BC73422"/>
    <w:rsid w:val="7C52568F"/>
    <w:rsid w:val="7C605FFE"/>
    <w:rsid w:val="7CA53A11"/>
    <w:rsid w:val="7CCD740C"/>
    <w:rsid w:val="7D5C3DD6"/>
    <w:rsid w:val="7DAC5273"/>
    <w:rsid w:val="7E510333"/>
    <w:rsid w:val="7E5C4657"/>
    <w:rsid w:val="7E694F72"/>
    <w:rsid w:val="7EC30AC6"/>
    <w:rsid w:val="7F19548E"/>
    <w:rsid w:val="7FA55890"/>
    <w:rsid w:val="7FD10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alloon Text"/>
    <w:basedOn w:val="1"/>
    <w:link w:val="20"/>
    <w:semiHidden/>
    <w:unhideWhenUsed/>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0"/>
    <w:rPr>
      <w:b/>
      <w:bCs/>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customStyle="1" w:styleId="11">
    <w:name w:val="Table Paragraph"/>
    <w:basedOn w:val="1"/>
    <w:qFormat/>
    <w:uiPriority w:val="0"/>
    <w:pPr>
      <w:jc w:val="left"/>
    </w:pPr>
    <w:rPr>
      <w:kern w:val="0"/>
      <w:sz w:val="22"/>
      <w:szCs w:val="22"/>
    </w:rPr>
  </w:style>
  <w:style w:type="table" w:customStyle="1" w:styleId="12">
    <w:name w:val="Table Normal"/>
    <w:basedOn w:val="7"/>
    <w:semiHidden/>
    <w:qFormat/>
    <w:uiPriority w:val="0"/>
    <w:tblPr>
      <w:tblCellMar>
        <w:left w:w="0" w:type="dxa"/>
        <w:right w:w="0" w:type="dxa"/>
      </w:tblCellMar>
    </w:tblPr>
  </w:style>
  <w:style w:type="character" w:customStyle="1" w:styleId="13">
    <w:name w:val="页眉 字符"/>
    <w:link w:val="5"/>
    <w:qFormat/>
    <w:uiPriority w:val="0"/>
    <w:rPr>
      <w:rFonts w:cs="Times New Roman"/>
      <w:kern w:val="2"/>
      <w:sz w:val="18"/>
      <w:szCs w:val="18"/>
    </w:rPr>
  </w:style>
  <w:style w:type="character" w:customStyle="1" w:styleId="14">
    <w:name w:val="页脚 字符"/>
    <w:link w:val="4"/>
    <w:qFormat/>
    <w:uiPriority w:val="0"/>
    <w:rPr>
      <w:rFonts w:cs="Times New Roman"/>
      <w:kern w:val="2"/>
      <w:sz w:val="18"/>
      <w:szCs w:val="18"/>
    </w:rPr>
  </w:style>
  <w:style w:type="paragraph" w:customStyle="1" w:styleId="15">
    <w:name w:val="列表段落1"/>
    <w:basedOn w:val="1"/>
    <w:qFormat/>
    <w:uiPriority w:val="99"/>
    <w:pPr>
      <w:ind w:firstLine="420" w:firstLineChars="200"/>
    </w:pPr>
  </w:style>
  <w:style w:type="character" w:customStyle="1" w:styleId="16">
    <w:name w:val="oli-avatar-text"/>
    <w:basedOn w:val="9"/>
    <w:qFormat/>
    <w:uiPriority w:val="0"/>
  </w:style>
  <w:style w:type="paragraph" w:styleId="17">
    <w:name w:val="List Paragraph"/>
    <w:basedOn w:val="1"/>
    <w:qFormat/>
    <w:uiPriority w:val="99"/>
    <w:pPr>
      <w:ind w:firstLine="420" w:firstLineChars="200"/>
    </w:pPr>
  </w:style>
  <w:style w:type="character" w:customStyle="1" w:styleId="18">
    <w:name w:val="批注文字 字符"/>
    <w:basedOn w:val="9"/>
    <w:link w:val="2"/>
    <w:semiHidden/>
    <w:qFormat/>
    <w:uiPriority w:val="0"/>
    <w:rPr>
      <w:rFonts w:cs="Times New Roman"/>
      <w:kern w:val="2"/>
      <w:sz w:val="21"/>
      <w:szCs w:val="24"/>
    </w:rPr>
  </w:style>
  <w:style w:type="character" w:customStyle="1" w:styleId="19">
    <w:name w:val="批注主题 字符"/>
    <w:basedOn w:val="18"/>
    <w:link w:val="6"/>
    <w:semiHidden/>
    <w:qFormat/>
    <w:uiPriority w:val="0"/>
    <w:rPr>
      <w:rFonts w:cs="Times New Roman"/>
      <w:b/>
      <w:bCs/>
      <w:kern w:val="2"/>
      <w:sz w:val="21"/>
      <w:szCs w:val="24"/>
    </w:rPr>
  </w:style>
  <w:style w:type="character" w:customStyle="1" w:styleId="20">
    <w:name w:val="批注框文本 字符"/>
    <w:basedOn w:val="9"/>
    <w:link w:val="3"/>
    <w:semiHidden/>
    <w:qFormat/>
    <w:uiPriority w:val="0"/>
    <w:rPr>
      <w:rFonts w:cs="Times New Roman"/>
      <w:kern w:val="2"/>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font11"/>
    <w:basedOn w:val="9"/>
    <w:qFormat/>
    <w:uiPriority w:val="0"/>
    <w:rPr>
      <w:rFonts w:hint="eastAsia" w:ascii="宋体" w:hAnsi="宋体" w:eastAsia="宋体" w:cs="宋体"/>
      <w:color w:val="000000"/>
      <w:sz w:val="21"/>
      <w:szCs w:val="21"/>
      <w:u w:val="none"/>
    </w:rPr>
  </w:style>
  <w:style w:type="character" w:customStyle="1" w:styleId="24">
    <w:name w:val="font21"/>
    <w:basedOn w:val="9"/>
    <w:qFormat/>
    <w:uiPriority w:val="0"/>
    <w:rPr>
      <w:rFonts w:hint="default" w:ascii="Times New Roman" w:hAnsi="Times New Roman" w:cs="Times New Roman"/>
      <w:color w:val="000000"/>
      <w:sz w:val="21"/>
      <w:szCs w:val="21"/>
      <w:u w:val="none"/>
    </w:rPr>
  </w:style>
  <w:style w:type="paragraph" w:customStyle="1" w:styleId="25">
    <w:name w:val="修订2"/>
    <w:hidden/>
    <w:unhideWhenUsed/>
    <w:qFormat/>
    <w:uiPriority w:val="99"/>
    <w:rPr>
      <w:rFonts w:ascii="Calibri" w:hAnsi="Calibri" w:eastAsia="宋体" w:cs="Times New Roman"/>
      <w:kern w:val="2"/>
      <w:sz w:val="21"/>
      <w:szCs w:val="24"/>
      <w:lang w:val="en-US" w:eastAsia="zh-CN" w:bidi="ar-SA"/>
    </w:rPr>
  </w:style>
  <w:style w:type="paragraph" w:customStyle="1" w:styleId="26">
    <w:name w:val="修订3"/>
    <w:hidden/>
    <w:unhideWhenUsed/>
    <w:qFormat/>
    <w:uiPriority w:val="99"/>
    <w:rPr>
      <w:rFonts w:ascii="Calibri" w:hAnsi="Calibri" w:eastAsia="宋体" w:cs="Times New Roman"/>
      <w:kern w:val="2"/>
      <w:sz w:val="21"/>
      <w:szCs w:val="24"/>
      <w:lang w:val="en-US" w:eastAsia="zh-CN" w:bidi="ar-SA"/>
    </w:rPr>
  </w:style>
  <w:style w:type="paragraph" w:customStyle="1" w:styleId="27">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3</Pages>
  <Words>1720</Words>
  <Characters>1852</Characters>
  <Lines>139</Lines>
  <Paragraphs>132</Paragraphs>
  <TotalTime>202</TotalTime>
  <ScaleCrop>false</ScaleCrop>
  <LinksUpToDate>false</LinksUpToDate>
  <CharactersWithSpaces>1926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2022-11-11T07:57:00Z</dcterms:created>
  <dc:creator>admin</dc:creator>
  <cp:lastModifiedBy>姜怡</cp:lastModifiedBy>
  <cp:lastPrinted>2025-02-14T06:02:00Z</cp:lastPrinted>
  <dcterms:modified xsi:type="dcterms:W3CDTF">2025-12-31T06:19:01Z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7A780F580051464B90E3B17151077273_13</vt:lpwstr>
  </property>
  <property fmtid="{D5CDD505-2E9C-101B-9397-08002B2CF9AE}" pid="4" name="KSOTemplateDocerSaveRecord">
    <vt:lpwstr>eyJoZGlkIjoiNDdiZGQxNmMzYTcwYjk0ZmU1Y2E2MWRhMzUyNWU5ZWQiLCJ1c2VySWQiOiIzODQ4ODI1MDMifQ==</vt:lpwstr>
  </property>
</Properties>
</file>