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A30565">
      <w:pPr>
        <w:spacing w:before="156" w:beforeLines="50" w:after="156" w:afterLines="50" w:line="400" w:lineRule="exact"/>
        <w:jc w:val="center"/>
        <w:rPr>
          <w:rFonts w:ascii="宋体" w:hAnsi="宋体"/>
          <w:b/>
          <w:bCs/>
          <w:iCs/>
          <w:color w:val="000000"/>
          <w:sz w:val="32"/>
          <w:szCs w:val="32"/>
        </w:rPr>
      </w:pPr>
      <w:r>
        <w:rPr>
          <w:rFonts w:ascii="宋体" w:hAnsi="宋体"/>
          <w:b/>
          <w:bCs/>
          <w:iCs/>
          <w:color w:val="000000"/>
          <w:sz w:val="32"/>
          <w:szCs w:val="32"/>
        </w:rPr>
        <w:t>珠海珠免集团股份有限公司</w:t>
      </w:r>
    </w:p>
    <w:p w14:paraId="25ED09D4">
      <w:pPr>
        <w:spacing w:before="156" w:beforeLines="50" w:after="156" w:afterLines="50" w:line="400" w:lineRule="exact"/>
        <w:jc w:val="center"/>
        <w:rPr>
          <w:rFonts w:ascii="宋体" w:hAnsi="宋体"/>
          <w:b/>
          <w:bCs/>
          <w:iCs/>
          <w:color w:val="000000"/>
          <w:sz w:val="32"/>
          <w:szCs w:val="32"/>
        </w:rPr>
      </w:pPr>
      <w:r>
        <w:rPr>
          <w:rFonts w:hint="eastAsia" w:ascii="宋体" w:hAnsi="宋体"/>
          <w:b/>
          <w:bCs/>
          <w:iCs/>
          <w:color w:val="000000"/>
          <w:sz w:val="32"/>
          <w:szCs w:val="32"/>
        </w:rPr>
        <w:t>投资者关系活动记录表</w:t>
      </w:r>
    </w:p>
    <w:p w14:paraId="44CEE08A">
      <w:pPr>
        <w:spacing w:line="400" w:lineRule="exact"/>
        <w:jc w:val="right"/>
        <w:rPr>
          <w:bCs/>
          <w:iCs/>
          <w:color w:val="000000"/>
          <w:sz w:val="22"/>
          <w:szCs w:val="22"/>
        </w:rPr>
      </w:pPr>
      <w:r>
        <w:rPr>
          <w:rFonts w:hint="eastAsia" w:ascii="宋体" w:hAnsi="宋体"/>
          <w:bCs/>
          <w:iCs/>
          <w:color w:val="000000"/>
          <w:sz w:val="24"/>
        </w:rPr>
        <w:t xml:space="preserve">                                                   </w:t>
      </w:r>
      <w:r>
        <w:rPr>
          <w:bCs/>
          <w:iCs/>
          <w:color w:val="000000"/>
          <w:sz w:val="22"/>
          <w:szCs w:val="22"/>
        </w:rPr>
        <w:t>编号：2025-00</w:t>
      </w:r>
      <w:r>
        <w:rPr>
          <w:rFonts w:hint="eastAsia"/>
          <w:bCs/>
          <w:iCs/>
          <w:color w:val="000000"/>
          <w:sz w:val="22"/>
          <w:szCs w:val="22"/>
        </w:rPr>
        <w:t>2</w:t>
      </w:r>
    </w:p>
    <w:tbl>
      <w:tblPr>
        <w:tblStyle w:val="7"/>
        <w:tblW w:w="83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6607"/>
      </w:tblGrid>
      <w:tr w14:paraId="46B06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tcBorders>
              <w:top w:val="single" w:color="auto" w:sz="4" w:space="0"/>
              <w:left w:val="single" w:color="auto" w:sz="4" w:space="0"/>
              <w:bottom w:val="single" w:color="auto" w:sz="4" w:space="0"/>
              <w:right w:val="single" w:color="auto" w:sz="4" w:space="0"/>
            </w:tcBorders>
            <w:vAlign w:val="center"/>
          </w:tcPr>
          <w:p w14:paraId="7E7877D7">
            <w:pPr>
              <w:spacing w:line="420" w:lineRule="exact"/>
              <w:jc w:val="left"/>
              <w:rPr>
                <w:bCs/>
                <w:iCs/>
                <w:color w:val="000000"/>
                <w:sz w:val="24"/>
              </w:rPr>
            </w:pPr>
            <w:r>
              <w:rPr>
                <w:rFonts w:hAnsi="宋体"/>
                <w:bCs/>
                <w:iCs/>
                <w:color w:val="000000"/>
                <w:kern w:val="0"/>
                <w:sz w:val="24"/>
              </w:rPr>
              <w:t>投资者关系</w:t>
            </w:r>
            <w:r>
              <w:rPr>
                <w:rFonts w:hAnsi="宋体"/>
                <w:bCs/>
                <w:iCs/>
                <w:color w:val="000000"/>
                <w:kern w:val="0"/>
                <w:sz w:val="24"/>
              </w:rPr>
              <w:br w:type="textWrapping"/>
            </w:r>
            <w:r>
              <w:rPr>
                <w:rFonts w:hAnsi="宋体"/>
                <w:bCs/>
                <w:iCs/>
                <w:color w:val="000000"/>
                <w:kern w:val="0"/>
                <w:sz w:val="24"/>
              </w:rPr>
              <w:t>活动类别</w:t>
            </w:r>
          </w:p>
        </w:tc>
        <w:tc>
          <w:tcPr>
            <w:tcW w:w="6607" w:type="dxa"/>
            <w:tcBorders>
              <w:top w:val="single" w:color="auto" w:sz="4" w:space="0"/>
              <w:left w:val="single" w:color="auto" w:sz="4" w:space="0"/>
              <w:bottom w:val="single" w:color="auto" w:sz="4" w:space="0"/>
              <w:right w:val="single" w:color="auto" w:sz="4" w:space="0"/>
            </w:tcBorders>
          </w:tcPr>
          <w:p w14:paraId="58C6A88E">
            <w:pPr>
              <w:spacing w:line="420" w:lineRule="exact"/>
              <w:rPr>
                <w:bCs/>
                <w:iCs/>
                <w:color w:val="000000"/>
                <w:sz w:val="24"/>
              </w:rPr>
            </w:pPr>
            <w:r>
              <w:rPr>
                <w:rFonts w:hint="eastAsia"/>
                <w:bCs/>
                <w:iCs/>
                <w:color w:val="000000"/>
                <w:kern w:val="0"/>
                <w:sz w:val="24"/>
              </w:rPr>
              <w:t>☑</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14:paraId="24097B76">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14:paraId="777281C8">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14:paraId="193452B9">
            <w:pPr>
              <w:tabs>
                <w:tab w:val="left" w:pos="3045"/>
                <w:tab w:val="center" w:pos="3199"/>
              </w:tabs>
              <w:spacing w:line="420" w:lineRule="exact"/>
              <w:rPr>
                <w:bCs/>
                <w:iCs/>
                <w:color w:val="000000"/>
                <w:kern w:val="0"/>
                <w:sz w:val="24"/>
              </w:rPr>
            </w:pPr>
            <w:r>
              <w:rPr>
                <w:rFonts w:hint="eastAsia"/>
                <w:bCs/>
                <w:iCs/>
                <w:color w:val="000000"/>
                <w:kern w:val="0"/>
                <w:sz w:val="24"/>
                <w:lang w:eastAsia="zh-CN"/>
              </w:rPr>
              <w:t>☑</w:t>
            </w:r>
            <w:r>
              <w:rPr>
                <w:rFonts w:hint="eastAsia"/>
                <w:bCs/>
                <w:iCs/>
                <w:color w:val="000000"/>
                <w:kern w:val="0"/>
                <w:sz w:val="24"/>
              </w:rPr>
              <w:t xml:space="preserve"> </w:t>
            </w:r>
            <w:r>
              <w:rPr>
                <w:rFonts w:hAnsi="宋体"/>
                <w:kern w:val="0"/>
                <w:sz w:val="24"/>
              </w:rPr>
              <w:t>现场参观</w:t>
            </w:r>
          </w:p>
          <w:p w14:paraId="69FD5620">
            <w:pPr>
              <w:tabs>
                <w:tab w:val="center" w:pos="3199"/>
              </w:tabs>
              <w:spacing w:line="420" w:lineRule="exact"/>
              <w:rPr>
                <w:bCs/>
                <w:iCs/>
                <w:color w:val="000000"/>
                <w:sz w:val="24"/>
              </w:rPr>
            </w:pPr>
            <w:r>
              <w:rPr>
                <w:rFonts w:hint="eastAsia"/>
                <w:bCs/>
                <w:iCs/>
                <w:color w:val="000000"/>
                <w:kern w:val="0"/>
                <w:sz w:val="24"/>
              </w:rPr>
              <w:t xml:space="preserve">☑ </w:t>
            </w:r>
            <w:r>
              <w:rPr>
                <w:rFonts w:hAnsi="宋体"/>
                <w:kern w:val="0"/>
                <w:sz w:val="24"/>
              </w:rPr>
              <w:t>其他</w:t>
            </w:r>
            <w:r>
              <w:rPr>
                <w:kern w:val="0"/>
                <w:sz w:val="24"/>
                <w:u w:val="single"/>
              </w:rPr>
              <w:t xml:space="preserve"> </w:t>
            </w:r>
            <w:r>
              <w:rPr>
                <w:rFonts w:hint="eastAsia"/>
                <w:kern w:val="0"/>
                <w:sz w:val="24"/>
                <w:u w:val="single"/>
              </w:rPr>
              <w:t>线上</w:t>
            </w:r>
            <w:r>
              <w:rPr>
                <w:rFonts w:hint="eastAsia" w:hAnsi="宋体"/>
                <w:kern w:val="0"/>
                <w:sz w:val="24"/>
                <w:u w:val="single"/>
              </w:rPr>
              <w:t>会议</w:t>
            </w:r>
          </w:p>
        </w:tc>
      </w:tr>
      <w:tr w14:paraId="5D3A5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703" w:type="dxa"/>
            <w:vMerge w:val="restart"/>
            <w:tcBorders>
              <w:top w:val="single" w:color="auto" w:sz="4" w:space="0"/>
              <w:left w:val="single" w:color="auto" w:sz="4" w:space="0"/>
              <w:right w:val="single" w:color="auto" w:sz="4" w:space="0"/>
            </w:tcBorders>
            <w:vAlign w:val="center"/>
          </w:tcPr>
          <w:p w14:paraId="4E013040">
            <w:pPr>
              <w:spacing w:line="420" w:lineRule="exact"/>
              <w:rPr>
                <w:bCs/>
                <w:iCs/>
                <w:color w:val="000000"/>
                <w:kern w:val="0"/>
                <w:sz w:val="24"/>
              </w:rPr>
            </w:pPr>
            <w:r>
              <w:rPr>
                <w:rFonts w:hAnsi="宋体"/>
                <w:bCs/>
                <w:iCs/>
                <w:color w:val="000000"/>
                <w:kern w:val="0"/>
                <w:sz w:val="24"/>
              </w:rPr>
              <w:t>参与单位名称及人员姓名</w:t>
            </w:r>
          </w:p>
        </w:tc>
        <w:tc>
          <w:tcPr>
            <w:tcW w:w="6607" w:type="dxa"/>
            <w:tcBorders>
              <w:top w:val="single" w:color="auto" w:sz="4" w:space="0"/>
              <w:left w:val="single" w:color="auto" w:sz="4" w:space="0"/>
              <w:bottom w:val="single" w:color="auto" w:sz="4" w:space="0"/>
              <w:right w:val="single" w:color="auto" w:sz="4" w:space="0"/>
            </w:tcBorders>
            <w:vAlign w:val="center"/>
          </w:tcPr>
          <w:p w14:paraId="3A86C549">
            <w:pPr>
              <w:spacing w:line="420" w:lineRule="exact"/>
              <w:jc w:val="left"/>
              <w:rPr>
                <w:rStyle w:val="8"/>
                <w:rFonts w:hint="eastAsia"/>
                <w:bCs/>
                <w:iCs/>
                <w:color w:val="000000"/>
                <w:sz w:val="24"/>
              </w:rPr>
            </w:pPr>
            <w:r>
              <w:rPr>
                <w:rFonts w:hint="eastAsia"/>
                <w:bCs/>
                <w:iCs/>
                <w:color w:val="000000"/>
                <w:sz w:val="24"/>
                <w:lang w:val="en-US" w:eastAsia="zh-CN"/>
              </w:rPr>
              <w:t>第一场：</w:t>
            </w:r>
            <w:r>
              <w:rPr>
                <w:rStyle w:val="8"/>
                <w:rFonts w:hint="eastAsia"/>
                <w:bCs/>
                <w:iCs/>
                <w:color w:val="000000"/>
                <w:sz w:val="24"/>
                <w:szCs w:val="24"/>
              </w:rPr>
              <w:t>景顺长城基金</w:t>
            </w:r>
          </w:p>
        </w:tc>
      </w:tr>
      <w:tr w14:paraId="1C5FA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703" w:type="dxa"/>
            <w:vMerge w:val="continue"/>
            <w:tcBorders>
              <w:left w:val="single" w:color="auto" w:sz="4" w:space="0"/>
              <w:right w:val="single" w:color="auto" w:sz="4" w:space="0"/>
            </w:tcBorders>
            <w:vAlign w:val="center"/>
          </w:tcPr>
          <w:p w14:paraId="1A5053D3">
            <w:pPr>
              <w:spacing w:line="420" w:lineRule="exact"/>
              <w:jc w:val="left"/>
            </w:pPr>
          </w:p>
        </w:tc>
        <w:tc>
          <w:tcPr>
            <w:tcW w:w="6607" w:type="dxa"/>
            <w:tcBorders>
              <w:top w:val="single" w:color="auto" w:sz="4" w:space="0"/>
              <w:left w:val="single" w:color="auto" w:sz="4" w:space="0"/>
              <w:bottom w:val="single" w:color="auto" w:sz="4" w:space="0"/>
              <w:right w:val="single" w:color="auto" w:sz="4" w:space="0"/>
            </w:tcBorders>
            <w:vAlign w:val="center"/>
          </w:tcPr>
          <w:p w14:paraId="1C6897B0">
            <w:pPr>
              <w:spacing w:line="420" w:lineRule="exact"/>
              <w:jc w:val="left"/>
              <w:rPr>
                <w:rFonts w:hint="eastAsia"/>
                <w:bCs/>
                <w:iCs/>
                <w:color w:val="000000"/>
                <w:sz w:val="24"/>
              </w:rPr>
            </w:pPr>
            <w:r>
              <w:rPr>
                <w:rFonts w:hint="eastAsia"/>
                <w:bCs/>
                <w:iCs/>
                <w:color w:val="000000"/>
                <w:sz w:val="24"/>
                <w:lang w:val="en-US" w:eastAsia="zh-CN"/>
              </w:rPr>
              <w:t>第二场：</w:t>
            </w:r>
            <w:r>
              <w:rPr>
                <w:rFonts w:hint="eastAsia"/>
                <w:bCs/>
                <w:iCs/>
                <w:color w:val="000000"/>
                <w:sz w:val="24"/>
              </w:rPr>
              <w:t>中信证券</w:t>
            </w:r>
            <w:r>
              <w:rPr>
                <w:rFonts w:hint="eastAsia"/>
                <w:bCs/>
                <w:iCs/>
                <w:color w:val="000000"/>
                <w:sz w:val="24"/>
                <w:lang w:eastAsia="zh-CN"/>
              </w:rPr>
              <w:t>、</w:t>
            </w:r>
            <w:r>
              <w:rPr>
                <w:rFonts w:hint="eastAsia" w:ascii="Times New Roman" w:hAnsi="Times New Roman" w:eastAsia="宋体" w:cs="Times New Roman"/>
                <w:bCs/>
                <w:iCs/>
                <w:color w:val="000000"/>
                <w:sz w:val="24"/>
                <w:szCs w:val="24"/>
              </w:rPr>
              <w:t>富国基金、汇添富基金、华安基金、华夏基金、中邮创业基金</w:t>
            </w:r>
          </w:p>
        </w:tc>
      </w:tr>
      <w:tr w14:paraId="0AAE7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703" w:type="dxa"/>
            <w:vMerge w:val="continue"/>
            <w:tcBorders>
              <w:left w:val="single" w:color="auto" w:sz="4" w:space="0"/>
              <w:right w:val="single" w:color="auto" w:sz="4" w:space="0"/>
            </w:tcBorders>
            <w:vAlign w:val="center"/>
          </w:tcPr>
          <w:p w14:paraId="2EF42D00">
            <w:pPr>
              <w:spacing w:line="420" w:lineRule="exact"/>
              <w:jc w:val="left"/>
              <w:rPr>
                <w:rFonts w:hint="eastAsia"/>
                <w:bCs/>
                <w:iCs/>
                <w:color w:val="000000"/>
                <w:sz w:val="24"/>
              </w:rPr>
            </w:pPr>
          </w:p>
        </w:tc>
        <w:tc>
          <w:tcPr>
            <w:tcW w:w="6607" w:type="dxa"/>
            <w:tcBorders>
              <w:top w:val="single" w:color="auto" w:sz="4" w:space="0"/>
              <w:left w:val="single" w:color="auto" w:sz="4" w:space="0"/>
              <w:bottom w:val="single" w:color="auto" w:sz="4" w:space="0"/>
              <w:right w:val="single" w:color="auto" w:sz="4" w:space="0"/>
            </w:tcBorders>
            <w:vAlign w:val="center"/>
          </w:tcPr>
          <w:p w14:paraId="453741BB">
            <w:pPr>
              <w:spacing w:line="420" w:lineRule="exact"/>
              <w:jc w:val="left"/>
              <w:rPr>
                <w:rFonts w:hint="eastAsia" w:eastAsia="宋体"/>
                <w:bCs/>
                <w:iCs/>
                <w:color w:val="000000"/>
                <w:sz w:val="24"/>
                <w:lang w:eastAsia="zh-CN"/>
              </w:rPr>
            </w:pPr>
            <w:r>
              <w:rPr>
                <w:rFonts w:hint="eastAsia"/>
                <w:bCs/>
                <w:iCs/>
                <w:color w:val="000000"/>
                <w:sz w:val="24"/>
                <w:lang w:val="en-US" w:eastAsia="zh-CN"/>
              </w:rPr>
              <w:t>第三场：</w:t>
            </w:r>
            <w:r>
              <w:rPr>
                <w:rFonts w:hint="eastAsia"/>
                <w:bCs/>
                <w:iCs/>
                <w:color w:val="000000"/>
                <w:sz w:val="24"/>
              </w:rPr>
              <w:t>国泰海通证券</w:t>
            </w:r>
            <w:r>
              <w:rPr>
                <w:rFonts w:hint="eastAsia"/>
                <w:bCs/>
                <w:iCs/>
                <w:color w:val="000000"/>
                <w:sz w:val="24"/>
                <w:lang w:eastAsia="zh-CN"/>
              </w:rPr>
              <w:t>、平安资产、大家资产、新华资产、人保养老、阳光资产</w:t>
            </w:r>
          </w:p>
        </w:tc>
      </w:tr>
      <w:tr w14:paraId="23CF1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703" w:type="dxa"/>
            <w:vMerge w:val="continue"/>
            <w:tcBorders>
              <w:left w:val="single" w:color="auto" w:sz="4" w:space="0"/>
              <w:right w:val="single" w:color="auto" w:sz="4" w:space="0"/>
            </w:tcBorders>
            <w:vAlign w:val="center"/>
          </w:tcPr>
          <w:p w14:paraId="1F868029">
            <w:pPr>
              <w:spacing w:line="420" w:lineRule="exact"/>
              <w:jc w:val="left"/>
              <w:rPr>
                <w:rFonts w:hint="eastAsia"/>
                <w:bCs/>
                <w:iCs/>
                <w:color w:val="000000"/>
                <w:sz w:val="24"/>
              </w:rPr>
            </w:pPr>
          </w:p>
        </w:tc>
        <w:tc>
          <w:tcPr>
            <w:tcW w:w="6607" w:type="dxa"/>
            <w:tcBorders>
              <w:top w:val="single" w:color="auto" w:sz="4" w:space="0"/>
              <w:left w:val="single" w:color="auto" w:sz="4" w:space="0"/>
              <w:bottom w:val="single" w:color="auto" w:sz="4" w:space="0"/>
              <w:right w:val="single" w:color="auto" w:sz="4" w:space="0"/>
            </w:tcBorders>
            <w:vAlign w:val="center"/>
          </w:tcPr>
          <w:p w14:paraId="5A2CF343">
            <w:pPr>
              <w:spacing w:line="420" w:lineRule="exact"/>
              <w:jc w:val="left"/>
              <w:rPr>
                <w:rFonts w:hint="eastAsia" w:eastAsia="宋体"/>
                <w:bCs/>
                <w:iCs/>
                <w:color w:val="000000"/>
                <w:sz w:val="24"/>
                <w:lang w:eastAsia="zh-CN"/>
              </w:rPr>
            </w:pPr>
            <w:r>
              <w:rPr>
                <w:rFonts w:hint="eastAsia"/>
                <w:bCs/>
                <w:iCs/>
                <w:color w:val="000000"/>
                <w:sz w:val="24"/>
                <w:lang w:val="en-US" w:eastAsia="zh-CN"/>
              </w:rPr>
              <w:t>第四场：</w:t>
            </w:r>
            <w:r>
              <w:rPr>
                <w:rFonts w:hint="eastAsia"/>
                <w:bCs/>
                <w:iCs/>
                <w:color w:val="000000"/>
                <w:sz w:val="24"/>
              </w:rPr>
              <w:t>国信证券</w:t>
            </w:r>
            <w:r>
              <w:rPr>
                <w:rFonts w:hint="eastAsia"/>
                <w:bCs/>
                <w:iCs/>
                <w:color w:val="000000"/>
                <w:sz w:val="24"/>
                <w:lang w:eastAsia="zh-CN"/>
              </w:rPr>
              <w:t>、工银瑞信、嘉实基金、招商基金、博时基金、平安基金、长安基金</w:t>
            </w:r>
          </w:p>
        </w:tc>
      </w:tr>
      <w:tr w14:paraId="3B14A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703" w:type="dxa"/>
            <w:vMerge w:val="continue"/>
            <w:tcBorders>
              <w:left w:val="single" w:color="auto" w:sz="4" w:space="0"/>
              <w:right w:val="single" w:color="auto" w:sz="4" w:space="0"/>
            </w:tcBorders>
            <w:vAlign w:val="center"/>
          </w:tcPr>
          <w:p w14:paraId="52142A24">
            <w:pPr>
              <w:spacing w:line="420" w:lineRule="exact"/>
              <w:jc w:val="left"/>
              <w:rPr>
                <w:rFonts w:hint="eastAsia"/>
                <w:bCs/>
                <w:iCs/>
                <w:color w:val="000000"/>
                <w:sz w:val="24"/>
              </w:rPr>
            </w:pPr>
          </w:p>
        </w:tc>
        <w:tc>
          <w:tcPr>
            <w:tcW w:w="6607" w:type="dxa"/>
            <w:tcBorders>
              <w:top w:val="single" w:color="auto" w:sz="4" w:space="0"/>
              <w:left w:val="single" w:color="auto" w:sz="4" w:space="0"/>
              <w:bottom w:val="single" w:color="auto" w:sz="4" w:space="0"/>
              <w:right w:val="single" w:color="auto" w:sz="4" w:space="0"/>
            </w:tcBorders>
            <w:vAlign w:val="center"/>
          </w:tcPr>
          <w:p w14:paraId="3FF0D14A">
            <w:pPr>
              <w:spacing w:line="420" w:lineRule="exact"/>
              <w:jc w:val="left"/>
              <w:rPr>
                <w:rFonts w:hint="default" w:eastAsia="宋体"/>
                <w:bCs/>
                <w:iCs/>
                <w:color w:val="000000"/>
                <w:sz w:val="24"/>
                <w:lang w:val="en-US" w:eastAsia="zh-CN"/>
              </w:rPr>
            </w:pPr>
            <w:r>
              <w:rPr>
                <w:rFonts w:hint="eastAsia"/>
                <w:bCs/>
                <w:iCs/>
                <w:color w:val="000000"/>
                <w:sz w:val="24"/>
                <w:lang w:val="en-US" w:eastAsia="zh-CN"/>
              </w:rPr>
              <w:t>第五场：</w:t>
            </w:r>
            <w:r>
              <w:rPr>
                <w:rFonts w:hint="eastAsia"/>
                <w:bCs/>
                <w:iCs/>
                <w:color w:val="000000"/>
                <w:sz w:val="24"/>
              </w:rPr>
              <w:t>申万宏源证券</w:t>
            </w:r>
            <w:r>
              <w:rPr>
                <w:rFonts w:hint="eastAsia"/>
                <w:bCs/>
                <w:iCs/>
                <w:color w:val="000000"/>
                <w:sz w:val="24"/>
                <w:lang w:eastAsia="zh-CN"/>
              </w:rPr>
              <w:t>、国联安基金、鹏扬基金、交银基金、光大保德信、博时基金、喜世润</w:t>
            </w:r>
            <w:r>
              <w:rPr>
                <w:rFonts w:hint="eastAsia"/>
                <w:bCs/>
                <w:iCs/>
                <w:color w:val="000000"/>
                <w:sz w:val="24"/>
                <w:lang w:val="en-US" w:eastAsia="zh-CN"/>
              </w:rPr>
              <w:t>投资</w:t>
            </w:r>
          </w:p>
        </w:tc>
      </w:tr>
      <w:tr w14:paraId="09A68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703" w:type="dxa"/>
            <w:vMerge w:val="continue"/>
            <w:tcBorders>
              <w:left w:val="single" w:color="auto" w:sz="4" w:space="0"/>
              <w:bottom w:val="single" w:color="auto" w:sz="4" w:space="0"/>
              <w:right w:val="single" w:color="auto" w:sz="4" w:space="0"/>
            </w:tcBorders>
            <w:vAlign w:val="center"/>
          </w:tcPr>
          <w:p w14:paraId="191499E8">
            <w:pPr>
              <w:spacing w:line="420" w:lineRule="exact"/>
              <w:jc w:val="left"/>
              <w:rPr>
                <w:rFonts w:hint="eastAsia"/>
                <w:bCs/>
                <w:iCs/>
                <w:color w:val="000000"/>
                <w:sz w:val="24"/>
              </w:rPr>
            </w:pPr>
          </w:p>
        </w:tc>
        <w:tc>
          <w:tcPr>
            <w:tcW w:w="6607" w:type="dxa"/>
            <w:tcBorders>
              <w:top w:val="single" w:color="auto" w:sz="4" w:space="0"/>
              <w:left w:val="single" w:color="auto" w:sz="4" w:space="0"/>
              <w:bottom w:val="single" w:color="auto" w:sz="4" w:space="0"/>
              <w:right w:val="single" w:color="auto" w:sz="4" w:space="0"/>
            </w:tcBorders>
            <w:vAlign w:val="center"/>
          </w:tcPr>
          <w:p w14:paraId="12E48550">
            <w:pPr>
              <w:spacing w:line="420" w:lineRule="exact"/>
              <w:jc w:val="left"/>
              <w:rPr>
                <w:rFonts w:hint="eastAsia" w:eastAsia="宋体"/>
                <w:bCs/>
                <w:iCs/>
                <w:color w:val="000000"/>
                <w:sz w:val="24"/>
                <w:lang w:eastAsia="zh-CN"/>
              </w:rPr>
            </w:pPr>
            <w:r>
              <w:rPr>
                <w:rFonts w:hint="eastAsia"/>
                <w:bCs/>
                <w:iCs/>
                <w:color w:val="000000"/>
                <w:sz w:val="24"/>
                <w:lang w:val="en-US" w:eastAsia="zh-CN"/>
              </w:rPr>
              <w:t>第六场：</w:t>
            </w:r>
            <w:r>
              <w:rPr>
                <w:rFonts w:hint="eastAsia"/>
                <w:bCs/>
                <w:iCs/>
                <w:color w:val="000000"/>
                <w:sz w:val="24"/>
              </w:rPr>
              <w:t>长江证券</w:t>
            </w:r>
            <w:r>
              <w:rPr>
                <w:rFonts w:hint="eastAsia"/>
                <w:bCs/>
                <w:iCs/>
                <w:color w:val="000000"/>
                <w:sz w:val="24"/>
                <w:lang w:eastAsia="zh-CN"/>
              </w:rPr>
              <w:t>、万家基金、泰康资产、汇丰晋信、华商基金、中金资管、长安基金、泰达</w:t>
            </w:r>
            <w:r>
              <w:rPr>
                <w:rFonts w:hint="eastAsia"/>
                <w:bCs/>
                <w:iCs/>
                <w:color w:val="000000"/>
                <w:sz w:val="24"/>
                <w:lang w:val="en-US" w:eastAsia="zh-CN"/>
              </w:rPr>
              <w:t>投资</w:t>
            </w:r>
            <w:r>
              <w:rPr>
                <w:rFonts w:hint="eastAsia"/>
                <w:bCs/>
                <w:iCs/>
                <w:color w:val="000000"/>
                <w:sz w:val="24"/>
                <w:lang w:eastAsia="zh-CN"/>
              </w:rPr>
              <w:t>、建信基金</w:t>
            </w:r>
          </w:p>
        </w:tc>
      </w:tr>
      <w:tr w14:paraId="069D2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tcBorders>
              <w:top w:val="single" w:color="auto" w:sz="4" w:space="0"/>
              <w:left w:val="single" w:color="auto" w:sz="4" w:space="0"/>
              <w:bottom w:val="single" w:color="auto" w:sz="4" w:space="0"/>
              <w:right w:val="single" w:color="auto" w:sz="4" w:space="0"/>
            </w:tcBorders>
            <w:vAlign w:val="center"/>
          </w:tcPr>
          <w:p w14:paraId="36BC802E">
            <w:pPr>
              <w:spacing w:line="420" w:lineRule="exact"/>
              <w:rPr>
                <w:bCs/>
                <w:iCs/>
                <w:color w:val="000000"/>
                <w:kern w:val="0"/>
                <w:sz w:val="24"/>
              </w:rPr>
            </w:pPr>
            <w:r>
              <w:rPr>
                <w:rFonts w:hAnsi="宋体"/>
                <w:bCs/>
                <w:iCs/>
                <w:color w:val="000000"/>
                <w:kern w:val="0"/>
                <w:sz w:val="24"/>
              </w:rPr>
              <w:t>时间</w:t>
            </w:r>
          </w:p>
        </w:tc>
        <w:tc>
          <w:tcPr>
            <w:tcW w:w="6607" w:type="dxa"/>
            <w:tcBorders>
              <w:top w:val="single" w:color="auto" w:sz="4" w:space="0"/>
              <w:left w:val="single" w:color="auto" w:sz="4" w:space="0"/>
              <w:bottom w:val="single" w:color="auto" w:sz="4" w:space="0"/>
              <w:right w:val="single" w:color="auto" w:sz="4" w:space="0"/>
            </w:tcBorders>
          </w:tcPr>
          <w:p w14:paraId="57D7B052">
            <w:pPr>
              <w:spacing w:line="420" w:lineRule="exact"/>
              <w:rPr>
                <w:bCs/>
                <w:iCs/>
                <w:color w:val="000000"/>
                <w:sz w:val="24"/>
              </w:rPr>
            </w:pPr>
            <w:r>
              <w:rPr>
                <w:bCs/>
                <w:iCs/>
                <w:color w:val="000000"/>
                <w:sz w:val="24"/>
              </w:rPr>
              <w:t>2025年</w:t>
            </w:r>
            <w:r>
              <w:rPr>
                <w:rFonts w:hint="eastAsia"/>
                <w:bCs/>
                <w:iCs/>
                <w:color w:val="000000"/>
                <w:sz w:val="24"/>
              </w:rPr>
              <w:t>12</w:t>
            </w:r>
            <w:r>
              <w:rPr>
                <w:bCs/>
                <w:iCs/>
                <w:color w:val="000000"/>
                <w:sz w:val="24"/>
              </w:rPr>
              <w:t>月</w:t>
            </w:r>
            <w:r>
              <w:rPr>
                <w:rFonts w:hint="eastAsia"/>
                <w:bCs/>
                <w:iCs/>
                <w:color w:val="000000"/>
                <w:sz w:val="24"/>
              </w:rPr>
              <w:t>29日、12月30日</w:t>
            </w:r>
          </w:p>
        </w:tc>
      </w:tr>
      <w:tr w14:paraId="029EE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tcBorders>
              <w:top w:val="single" w:color="auto" w:sz="4" w:space="0"/>
              <w:left w:val="single" w:color="auto" w:sz="4" w:space="0"/>
              <w:bottom w:val="single" w:color="auto" w:sz="4" w:space="0"/>
              <w:right w:val="single" w:color="auto" w:sz="4" w:space="0"/>
            </w:tcBorders>
            <w:vAlign w:val="center"/>
          </w:tcPr>
          <w:p w14:paraId="20E7A579">
            <w:pPr>
              <w:spacing w:line="420" w:lineRule="exact"/>
              <w:rPr>
                <w:bCs/>
                <w:iCs/>
                <w:color w:val="000000"/>
                <w:kern w:val="0"/>
                <w:sz w:val="24"/>
              </w:rPr>
            </w:pPr>
            <w:r>
              <w:rPr>
                <w:rFonts w:hAnsi="宋体"/>
                <w:bCs/>
                <w:iCs/>
                <w:color w:val="000000"/>
                <w:kern w:val="0"/>
                <w:sz w:val="24"/>
              </w:rPr>
              <w:t>地点</w:t>
            </w:r>
          </w:p>
        </w:tc>
        <w:tc>
          <w:tcPr>
            <w:tcW w:w="6607" w:type="dxa"/>
            <w:tcBorders>
              <w:top w:val="single" w:color="auto" w:sz="4" w:space="0"/>
              <w:left w:val="single" w:color="auto" w:sz="4" w:space="0"/>
              <w:bottom w:val="single" w:color="auto" w:sz="4" w:space="0"/>
              <w:right w:val="single" w:color="auto" w:sz="4" w:space="0"/>
            </w:tcBorders>
          </w:tcPr>
          <w:p w14:paraId="2E90BD67">
            <w:pPr>
              <w:spacing w:line="420" w:lineRule="exact"/>
              <w:rPr>
                <w:bCs/>
                <w:iCs/>
                <w:color w:val="000000"/>
                <w:sz w:val="24"/>
              </w:rPr>
            </w:pPr>
            <w:r>
              <w:rPr>
                <w:rFonts w:hint="eastAsia" w:ascii="宋体" w:hAnsi="宋体"/>
                <w:sz w:val="24"/>
              </w:rPr>
              <w:t>线上会议方式</w:t>
            </w:r>
          </w:p>
        </w:tc>
      </w:tr>
      <w:tr w14:paraId="03C02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tcBorders>
              <w:top w:val="single" w:color="auto" w:sz="4" w:space="0"/>
              <w:left w:val="single" w:color="auto" w:sz="4" w:space="0"/>
              <w:bottom w:val="single" w:color="auto" w:sz="4" w:space="0"/>
              <w:right w:val="single" w:color="auto" w:sz="4" w:space="0"/>
            </w:tcBorders>
            <w:vAlign w:val="center"/>
          </w:tcPr>
          <w:p w14:paraId="02FCA471">
            <w:pPr>
              <w:spacing w:line="420" w:lineRule="exact"/>
              <w:rPr>
                <w:bCs/>
                <w:iCs/>
                <w:color w:val="000000"/>
                <w:kern w:val="0"/>
                <w:sz w:val="24"/>
              </w:rPr>
            </w:pPr>
            <w:r>
              <w:rPr>
                <w:rFonts w:hAnsi="宋体"/>
                <w:bCs/>
                <w:iCs/>
                <w:color w:val="000000"/>
                <w:kern w:val="0"/>
                <w:sz w:val="24"/>
              </w:rPr>
              <w:t>上市公司接待人员姓名</w:t>
            </w:r>
          </w:p>
        </w:tc>
        <w:tc>
          <w:tcPr>
            <w:tcW w:w="6607" w:type="dxa"/>
            <w:tcBorders>
              <w:top w:val="single" w:color="auto" w:sz="4" w:space="0"/>
              <w:left w:val="single" w:color="auto" w:sz="4" w:space="0"/>
              <w:bottom w:val="single" w:color="auto" w:sz="4" w:space="0"/>
              <w:right w:val="single" w:color="auto" w:sz="4" w:space="0"/>
            </w:tcBorders>
            <w:vAlign w:val="center"/>
          </w:tcPr>
          <w:p w14:paraId="129E8075">
            <w:pPr>
              <w:spacing w:line="420" w:lineRule="exact"/>
              <w:rPr>
                <w:bCs/>
                <w:sz w:val="24"/>
              </w:rPr>
            </w:pPr>
            <w:r>
              <w:rPr>
                <w:bCs/>
                <w:sz w:val="24"/>
              </w:rPr>
              <w:t>董事、副总裁、董事会秘书</w:t>
            </w:r>
            <w:r>
              <w:rPr>
                <w:rFonts w:hint="eastAsia"/>
                <w:bCs/>
                <w:sz w:val="24"/>
              </w:rPr>
              <w:t xml:space="preserve"> </w:t>
            </w:r>
            <w:r>
              <w:rPr>
                <w:bCs/>
                <w:sz w:val="24"/>
              </w:rPr>
              <w:t>黄一桓</w:t>
            </w:r>
          </w:p>
          <w:p w14:paraId="38E905A7">
            <w:pPr>
              <w:spacing w:line="420" w:lineRule="exact"/>
              <w:rPr>
                <w:bCs/>
                <w:sz w:val="24"/>
              </w:rPr>
            </w:pPr>
            <w:r>
              <w:rPr>
                <w:rFonts w:hint="eastAsia"/>
                <w:bCs/>
                <w:sz w:val="24"/>
              </w:rPr>
              <w:t>品牌管理部总监 凌勉婧</w:t>
            </w:r>
          </w:p>
          <w:p w14:paraId="62551AC8">
            <w:pPr>
              <w:spacing w:line="420" w:lineRule="exact"/>
              <w:rPr>
                <w:bCs/>
                <w:sz w:val="24"/>
              </w:rPr>
            </w:pPr>
            <w:r>
              <w:rPr>
                <w:rFonts w:hint="eastAsia"/>
                <w:bCs/>
                <w:sz w:val="24"/>
              </w:rPr>
              <w:t>品牌管理部 李雅娴</w:t>
            </w:r>
          </w:p>
          <w:p w14:paraId="727D8FA8">
            <w:pPr>
              <w:spacing w:line="420" w:lineRule="exact"/>
              <w:rPr>
                <w:rFonts w:hint="eastAsia"/>
                <w:bCs/>
                <w:sz w:val="24"/>
              </w:rPr>
            </w:pPr>
            <w:r>
              <w:rPr>
                <w:rFonts w:hint="eastAsia"/>
                <w:bCs/>
                <w:sz w:val="24"/>
              </w:rPr>
              <w:t>董事会秘书处</w:t>
            </w:r>
            <w:r>
              <w:rPr>
                <w:rFonts w:hint="eastAsia"/>
                <w:bCs/>
                <w:sz w:val="24"/>
                <w:lang w:val="en-US" w:eastAsia="zh-CN"/>
              </w:rPr>
              <w:t xml:space="preserve"> </w:t>
            </w:r>
            <w:r>
              <w:rPr>
                <w:rFonts w:hint="eastAsia"/>
                <w:bCs/>
                <w:sz w:val="24"/>
              </w:rPr>
              <w:t>张朝葳</w:t>
            </w:r>
          </w:p>
        </w:tc>
      </w:tr>
      <w:tr w14:paraId="3240F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tcBorders>
              <w:top w:val="single" w:color="auto" w:sz="4" w:space="0"/>
              <w:left w:val="single" w:color="auto" w:sz="4" w:space="0"/>
              <w:bottom w:val="single" w:color="auto" w:sz="4" w:space="0"/>
              <w:right w:val="single" w:color="auto" w:sz="4" w:space="0"/>
            </w:tcBorders>
            <w:vAlign w:val="center"/>
          </w:tcPr>
          <w:p w14:paraId="168219CE">
            <w:pPr>
              <w:spacing w:line="420" w:lineRule="exact"/>
              <w:rPr>
                <w:bCs/>
                <w:iCs/>
                <w:color w:val="000000"/>
                <w:sz w:val="24"/>
              </w:rPr>
            </w:pPr>
            <w:r>
              <w:rPr>
                <w:rFonts w:hAnsi="宋体"/>
                <w:bCs/>
                <w:iCs/>
                <w:color w:val="000000"/>
                <w:kern w:val="0"/>
                <w:sz w:val="24"/>
              </w:rPr>
              <w:t>投资者关系活动主要内容介绍</w:t>
            </w:r>
          </w:p>
        </w:tc>
        <w:tc>
          <w:tcPr>
            <w:tcW w:w="6607" w:type="dxa"/>
            <w:tcBorders>
              <w:top w:val="single" w:color="auto" w:sz="4" w:space="0"/>
              <w:left w:val="single" w:color="auto" w:sz="4" w:space="0"/>
              <w:bottom w:val="single" w:color="auto" w:sz="4" w:space="0"/>
              <w:right w:val="single" w:color="auto" w:sz="4" w:space="0"/>
            </w:tcBorders>
          </w:tcPr>
          <w:p w14:paraId="5B8D18C8">
            <w:pPr>
              <w:pStyle w:val="10"/>
              <w:spacing w:line="460" w:lineRule="exact"/>
              <w:ind w:left="-2" w:leftChars="-1" w:firstLine="482"/>
              <w:rPr>
                <w:rFonts w:ascii="Times New Roman" w:hAnsi="Times New Roman"/>
                <w:b/>
                <w:sz w:val="24"/>
                <w:szCs w:val="24"/>
              </w:rPr>
            </w:pPr>
            <w:r>
              <w:rPr>
                <w:rFonts w:ascii="Times New Roman" w:hAnsi="Times New Roman"/>
                <w:b/>
                <w:sz w:val="24"/>
                <w:szCs w:val="24"/>
              </w:rPr>
              <w:t>1、</w:t>
            </w:r>
            <w:r>
              <w:rPr>
                <w:rFonts w:hint="eastAsia" w:ascii="Times New Roman" w:hAnsi="Times New Roman"/>
                <w:b/>
                <w:sz w:val="24"/>
                <w:szCs w:val="24"/>
              </w:rPr>
              <w:t>目前公司主要品类的毛利率水平及未来趋势如何？</w:t>
            </w:r>
          </w:p>
          <w:p w14:paraId="4EFCA1DF">
            <w:pPr>
              <w:pStyle w:val="10"/>
              <w:spacing w:line="460" w:lineRule="exact"/>
              <w:ind w:left="-2" w:leftChars="-1" w:firstLine="480"/>
              <w:rPr>
                <w:rFonts w:ascii="Times New Roman" w:hAnsi="Times New Roman"/>
                <w:sz w:val="24"/>
                <w:szCs w:val="24"/>
              </w:rPr>
            </w:pPr>
            <w:r>
              <w:rPr>
                <w:rFonts w:hint="eastAsia" w:ascii="Times New Roman" w:hAnsi="Times New Roman"/>
                <w:sz w:val="24"/>
                <w:szCs w:val="24"/>
              </w:rPr>
              <w:t>答：公司</w:t>
            </w:r>
            <w:r>
              <w:rPr>
                <w:rFonts w:hint="eastAsia" w:ascii="Times New Roman" w:hAnsi="Times New Roman"/>
                <w:sz w:val="24"/>
                <w:szCs w:val="24"/>
                <w:lang w:val="en-US" w:eastAsia="zh-CN"/>
              </w:rPr>
              <w:t>传统</w:t>
            </w:r>
            <w:r>
              <w:rPr>
                <w:rFonts w:hint="eastAsia" w:ascii="Times New Roman" w:hAnsi="Times New Roman"/>
                <w:sz w:val="24"/>
                <w:szCs w:val="24"/>
              </w:rPr>
              <w:t>产品整体毛利率水平较高，是公司核心毛利贡献来源；食品类产品的毛利率也较为可观，是公司增长潜力较大的品种。在免税新政下，公司计划新增电子产品、黄金、保健品等品类，预计也将为公司带来新的增量。</w:t>
            </w:r>
          </w:p>
          <w:p w14:paraId="4CDAD375">
            <w:pPr>
              <w:pStyle w:val="10"/>
              <w:spacing w:line="460" w:lineRule="exact"/>
              <w:ind w:left="-2" w:leftChars="-1" w:firstLine="482"/>
              <w:rPr>
                <w:rFonts w:ascii="Times New Roman" w:hAnsi="Times New Roman"/>
                <w:b/>
                <w:sz w:val="24"/>
                <w:szCs w:val="24"/>
              </w:rPr>
            </w:pPr>
            <w:r>
              <w:rPr>
                <w:rFonts w:ascii="Times New Roman" w:hAnsi="Times New Roman"/>
                <w:b/>
                <w:sz w:val="24"/>
                <w:szCs w:val="24"/>
              </w:rPr>
              <w:t>2、</w:t>
            </w:r>
            <w:r>
              <w:rPr>
                <w:rFonts w:hint="eastAsia" w:ascii="Times New Roman" w:hAnsi="Times New Roman"/>
                <w:b/>
                <w:sz w:val="24"/>
                <w:szCs w:val="24"/>
              </w:rPr>
              <w:t>请问公司长期品类结构规划及未来营收占比变化？</w:t>
            </w:r>
          </w:p>
          <w:p w14:paraId="01EF1B7B">
            <w:pPr>
              <w:pStyle w:val="10"/>
              <w:spacing w:line="460" w:lineRule="exact"/>
              <w:ind w:left="-2" w:leftChars="-1" w:firstLine="480"/>
              <w:rPr>
                <w:rFonts w:ascii="Times New Roman" w:hAnsi="Times New Roman"/>
                <w:sz w:val="24"/>
                <w:szCs w:val="24"/>
              </w:rPr>
            </w:pPr>
            <w:r>
              <w:rPr>
                <w:rFonts w:hint="eastAsia" w:ascii="Times New Roman" w:hAnsi="Times New Roman"/>
                <w:sz w:val="24"/>
                <w:szCs w:val="24"/>
              </w:rPr>
              <w:t>答：公司计划于2026年第一季度引入</w:t>
            </w:r>
            <w:r>
              <w:rPr>
                <w:rFonts w:hint="eastAsia" w:ascii="Times New Roman" w:hAnsi="Times New Roman"/>
                <w:sz w:val="24"/>
                <w:szCs w:val="24"/>
                <w:lang w:val="en-US" w:eastAsia="zh-CN"/>
              </w:rPr>
              <w:t>电子产品</w:t>
            </w:r>
            <w:r>
              <w:rPr>
                <w:rFonts w:hint="eastAsia" w:ascii="Times New Roman" w:hAnsi="Times New Roman"/>
                <w:sz w:val="24"/>
                <w:szCs w:val="24"/>
              </w:rPr>
              <w:t>、黄金等客单价高、便于携带的商品；后续将逐步扩充可穿戴设备、潮玩及国货国潮等品类。同时香化、食品等类别将通过打造特色专区进一步强化，其营收占比将稳步提升。未来公司将致力于降低单一品类产品的营收依赖，推动香化、电子产品及国货等重点品类占比提升，最终形成多品类协同、可持续发展的业务格局。</w:t>
            </w:r>
          </w:p>
          <w:p w14:paraId="4CFDE758">
            <w:pPr>
              <w:pStyle w:val="10"/>
              <w:spacing w:line="460" w:lineRule="exact"/>
              <w:ind w:left="-2" w:leftChars="-1" w:firstLine="482"/>
              <w:rPr>
                <w:rFonts w:ascii="Times New Roman" w:hAnsi="Times New Roman"/>
                <w:b/>
                <w:sz w:val="24"/>
                <w:szCs w:val="24"/>
              </w:rPr>
            </w:pPr>
            <w:r>
              <w:rPr>
                <w:rFonts w:ascii="Times New Roman" w:hAnsi="Times New Roman"/>
                <w:b/>
                <w:sz w:val="24"/>
                <w:szCs w:val="24"/>
              </w:rPr>
              <w:t>3、</w:t>
            </w:r>
            <w:r>
              <w:rPr>
                <w:rFonts w:hint="eastAsia" w:ascii="Times New Roman" w:hAnsi="Times New Roman"/>
                <w:b/>
                <w:sz w:val="24"/>
                <w:szCs w:val="24"/>
              </w:rPr>
              <w:t>请公司介绍一下拱北口岸免税店的客流结构及其消费潜力分布。</w:t>
            </w:r>
          </w:p>
          <w:p w14:paraId="43A0F483">
            <w:pPr>
              <w:pStyle w:val="10"/>
              <w:spacing w:line="460" w:lineRule="exact"/>
              <w:ind w:left="-2" w:leftChars="-1" w:firstLine="480"/>
              <w:rPr>
                <w:rFonts w:ascii="Times New Roman" w:hAnsi="Times New Roman"/>
                <w:sz w:val="24"/>
                <w:szCs w:val="24"/>
              </w:rPr>
            </w:pPr>
            <w:r>
              <w:rPr>
                <w:rFonts w:hint="eastAsia" w:ascii="Times New Roman" w:hAnsi="Times New Roman"/>
                <w:sz w:val="24"/>
                <w:szCs w:val="24"/>
              </w:rPr>
              <w:t>答：目前，拱北口岸免税店的客流主要可以分为以下三类：港澳居民、内地自由行游客以及劳工群体。其中，内地自由行游客的消费潜力最为突出，是当前及未来业绩增长的核心动力来源。</w:t>
            </w:r>
          </w:p>
          <w:p w14:paraId="10D11265">
            <w:pPr>
              <w:pStyle w:val="10"/>
              <w:spacing w:line="460" w:lineRule="exact"/>
              <w:ind w:left="-2" w:leftChars="-1" w:firstLine="482"/>
              <w:rPr>
                <w:rFonts w:ascii="Times New Roman" w:hAnsi="Times New Roman"/>
                <w:b/>
                <w:sz w:val="24"/>
                <w:szCs w:val="24"/>
              </w:rPr>
            </w:pPr>
            <w:r>
              <w:rPr>
                <w:rFonts w:ascii="Times New Roman" w:hAnsi="Times New Roman"/>
                <w:b/>
                <w:sz w:val="24"/>
                <w:szCs w:val="24"/>
              </w:rPr>
              <w:t>4、</w:t>
            </w:r>
            <w:r>
              <w:rPr>
                <w:rFonts w:hint="eastAsia" w:ascii="Times New Roman" w:hAnsi="Times New Roman"/>
                <w:b/>
                <w:sz w:val="24"/>
                <w:szCs w:val="24"/>
              </w:rPr>
              <w:t>请问公司今年澳门相关客流及销售的季度趋势如何？明年展望怎样？</w:t>
            </w:r>
          </w:p>
          <w:p w14:paraId="3FBB6723">
            <w:pPr>
              <w:pStyle w:val="10"/>
              <w:spacing w:line="460" w:lineRule="exact"/>
              <w:ind w:left="-2" w:leftChars="-1" w:firstLine="480"/>
              <w:rPr>
                <w:rFonts w:ascii="Times New Roman" w:hAnsi="Times New Roman"/>
                <w:sz w:val="24"/>
                <w:szCs w:val="24"/>
              </w:rPr>
            </w:pPr>
            <w:r>
              <w:rPr>
                <w:rFonts w:hint="eastAsia" w:ascii="Times New Roman" w:hAnsi="Times New Roman"/>
                <w:sz w:val="24"/>
                <w:szCs w:val="24"/>
              </w:rPr>
              <w:t>答：2025年以来，受益于“一年一签、每周一行”政策，拱北口岸全年客流量预计达1.2亿人次，同比增加12%。展望2026年，随着澳门演唱会等大型活动持续举办以及自由行客群稳步增长，预计相关区域客流将进一步攀升，并间接推动公司免税业务销售额的提升。</w:t>
            </w:r>
          </w:p>
          <w:p w14:paraId="7221D74B">
            <w:pPr>
              <w:pStyle w:val="10"/>
              <w:spacing w:line="460" w:lineRule="exact"/>
              <w:ind w:left="-2" w:leftChars="-1" w:firstLine="482"/>
              <w:rPr>
                <w:rFonts w:ascii="Times New Roman" w:hAnsi="Times New Roman"/>
                <w:b/>
                <w:sz w:val="24"/>
                <w:szCs w:val="24"/>
              </w:rPr>
            </w:pPr>
            <w:r>
              <w:rPr>
                <w:rFonts w:hint="eastAsia" w:ascii="Times New Roman" w:hAnsi="Times New Roman"/>
                <w:b/>
                <w:sz w:val="24"/>
                <w:szCs w:val="24"/>
                <w:lang w:val="en-US" w:eastAsia="zh-CN"/>
              </w:rPr>
              <w:t>5</w:t>
            </w:r>
            <w:r>
              <w:rPr>
                <w:rFonts w:ascii="Times New Roman" w:hAnsi="Times New Roman"/>
                <w:b/>
                <w:sz w:val="24"/>
                <w:szCs w:val="24"/>
              </w:rPr>
              <w:t>、</w:t>
            </w:r>
            <w:r>
              <w:rPr>
                <w:rFonts w:hint="eastAsia" w:ascii="Times New Roman" w:hAnsi="Times New Roman"/>
                <w:b/>
                <w:sz w:val="24"/>
                <w:szCs w:val="24"/>
              </w:rPr>
              <w:t>想请问一下公司剩余49%免税公司股权何时、以何种方式注入上市公司？</w:t>
            </w:r>
          </w:p>
          <w:p w14:paraId="174D5C1F">
            <w:pPr>
              <w:pStyle w:val="10"/>
              <w:spacing w:line="460" w:lineRule="exact"/>
              <w:ind w:left="-2" w:leftChars="-1" w:firstLine="480"/>
              <w:rPr>
                <w:rFonts w:ascii="Times New Roman" w:hAnsi="Times New Roman"/>
                <w:sz w:val="24"/>
                <w:szCs w:val="24"/>
              </w:rPr>
            </w:pPr>
            <w:r>
              <w:rPr>
                <w:rFonts w:hint="eastAsia" w:ascii="Times New Roman" w:hAnsi="Times New Roman"/>
                <w:sz w:val="24"/>
                <w:szCs w:val="24"/>
              </w:rPr>
              <w:t>答：2024年，公司已完成与免税公司的重大资产重组，免税公司51%股权已过户至公司名下，对于免税公司剩余49%股权，公司将根据战略规划统筹研究考虑。若未来有相关计划，公司将严格按照相关规定及时履行信息披露义务。</w:t>
            </w:r>
          </w:p>
          <w:p w14:paraId="0DD3DF1E">
            <w:pPr>
              <w:pStyle w:val="10"/>
              <w:spacing w:line="460" w:lineRule="exact"/>
              <w:ind w:left="-2" w:leftChars="-1" w:firstLine="480"/>
              <w:rPr>
                <w:rFonts w:ascii="Times New Roman" w:hAnsi="Times New Roman"/>
                <w:sz w:val="24"/>
                <w:szCs w:val="24"/>
              </w:rPr>
            </w:pPr>
            <w:r>
              <w:rPr>
                <w:rFonts w:hint="eastAsia" w:ascii="Times New Roman" w:hAnsi="Times New Roman"/>
                <w:b/>
                <w:bCs/>
                <w:sz w:val="24"/>
                <w:szCs w:val="24"/>
                <w:lang w:val="en-US" w:eastAsia="zh-CN"/>
              </w:rPr>
              <w:t>6</w:t>
            </w:r>
            <w:r>
              <w:rPr>
                <w:rFonts w:hint="eastAsia" w:ascii="Times New Roman" w:hAnsi="Times New Roman"/>
                <w:sz w:val="24"/>
                <w:szCs w:val="24"/>
              </w:rPr>
              <w:t>.</w:t>
            </w:r>
            <w:r>
              <w:rPr>
                <w:rFonts w:hint="eastAsia" w:ascii="Times New Roman" w:hAnsi="Times New Roman"/>
                <w:b/>
                <w:bCs/>
                <w:sz w:val="24"/>
                <w:szCs w:val="24"/>
              </w:rPr>
              <w:t>请问一下公司目前离岛免税牌照申请进展及岛民免税政策的跟进情况？</w:t>
            </w:r>
          </w:p>
          <w:p w14:paraId="227D8F59">
            <w:pPr>
              <w:pStyle w:val="10"/>
              <w:spacing w:line="460" w:lineRule="exact"/>
              <w:ind w:left="-2" w:leftChars="-1" w:firstLine="480"/>
              <w:rPr>
                <w:rFonts w:ascii="Times New Roman" w:hAnsi="Times New Roman"/>
                <w:sz w:val="24"/>
                <w:szCs w:val="24"/>
              </w:rPr>
            </w:pPr>
            <w:r>
              <w:rPr>
                <w:rFonts w:hint="eastAsia" w:ascii="Times New Roman" w:hAnsi="Times New Roman"/>
                <w:sz w:val="24"/>
                <w:szCs w:val="24"/>
              </w:rPr>
              <w:t>答：公司将持续关注海南封关运作后的相关免税政策，根据政策规定进一步开展后续业务。</w:t>
            </w:r>
            <w:bookmarkStart w:id="0" w:name="_GoBack"/>
            <w:bookmarkEnd w:id="0"/>
          </w:p>
        </w:tc>
      </w:tr>
      <w:tr w14:paraId="214F1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tcBorders>
              <w:top w:val="single" w:color="auto" w:sz="4" w:space="0"/>
              <w:left w:val="single" w:color="auto" w:sz="4" w:space="0"/>
              <w:bottom w:val="single" w:color="auto" w:sz="4" w:space="0"/>
              <w:right w:val="single" w:color="auto" w:sz="4" w:space="0"/>
            </w:tcBorders>
            <w:vAlign w:val="center"/>
          </w:tcPr>
          <w:p w14:paraId="42987F0C">
            <w:pPr>
              <w:spacing w:line="420" w:lineRule="exact"/>
              <w:rPr>
                <w:bCs/>
                <w:iCs/>
                <w:color w:val="000000"/>
                <w:kern w:val="0"/>
                <w:sz w:val="24"/>
              </w:rPr>
            </w:pPr>
            <w:r>
              <w:rPr>
                <w:rFonts w:hAnsi="宋体"/>
                <w:bCs/>
                <w:iCs/>
                <w:color w:val="000000"/>
                <w:kern w:val="0"/>
                <w:sz w:val="24"/>
              </w:rPr>
              <w:t>附件清单</w:t>
            </w:r>
            <w:r>
              <w:rPr>
                <w:rFonts w:hAnsi="宋体"/>
                <w:bCs/>
                <w:iCs/>
                <w:color w:val="000000"/>
                <w:kern w:val="0"/>
                <w:sz w:val="24"/>
              </w:rPr>
              <w:br w:type="textWrapping"/>
            </w:r>
            <w:r>
              <w:rPr>
                <w:rFonts w:hAnsi="宋体"/>
                <w:bCs/>
                <w:iCs/>
                <w:color w:val="000000"/>
                <w:kern w:val="0"/>
                <w:sz w:val="24"/>
              </w:rPr>
              <w:t>（如有）</w:t>
            </w:r>
          </w:p>
        </w:tc>
        <w:tc>
          <w:tcPr>
            <w:tcW w:w="6607" w:type="dxa"/>
            <w:tcBorders>
              <w:top w:val="single" w:color="auto" w:sz="4" w:space="0"/>
              <w:left w:val="single" w:color="auto" w:sz="4" w:space="0"/>
              <w:bottom w:val="single" w:color="auto" w:sz="4" w:space="0"/>
              <w:right w:val="single" w:color="auto" w:sz="4" w:space="0"/>
            </w:tcBorders>
            <w:vAlign w:val="center"/>
          </w:tcPr>
          <w:p w14:paraId="1BC25963">
            <w:pPr>
              <w:spacing w:line="420" w:lineRule="exact"/>
              <w:rPr>
                <w:bCs/>
                <w:iCs/>
                <w:color w:val="000000"/>
                <w:sz w:val="24"/>
              </w:rPr>
            </w:pPr>
            <w:r>
              <w:rPr>
                <w:rFonts w:hint="eastAsia"/>
                <w:bCs/>
                <w:iCs/>
                <w:color w:val="000000"/>
                <w:sz w:val="24"/>
              </w:rPr>
              <w:t>无</w:t>
            </w:r>
          </w:p>
        </w:tc>
      </w:tr>
      <w:tr w14:paraId="3DE6D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tcBorders>
              <w:top w:val="single" w:color="auto" w:sz="4" w:space="0"/>
              <w:left w:val="single" w:color="auto" w:sz="4" w:space="0"/>
              <w:bottom w:val="single" w:color="auto" w:sz="4" w:space="0"/>
              <w:right w:val="single" w:color="auto" w:sz="4" w:space="0"/>
            </w:tcBorders>
            <w:vAlign w:val="center"/>
          </w:tcPr>
          <w:p w14:paraId="325B14AE">
            <w:pPr>
              <w:spacing w:line="420" w:lineRule="exact"/>
              <w:rPr>
                <w:bCs/>
                <w:iCs/>
                <w:color w:val="000000"/>
                <w:kern w:val="0"/>
                <w:sz w:val="24"/>
              </w:rPr>
            </w:pPr>
            <w:r>
              <w:rPr>
                <w:rFonts w:hAnsi="宋体"/>
                <w:bCs/>
                <w:iCs/>
                <w:color w:val="000000"/>
                <w:kern w:val="0"/>
                <w:sz w:val="24"/>
              </w:rPr>
              <w:t>日期</w:t>
            </w:r>
          </w:p>
        </w:tc>
        <w:tc>
          <w:tcPr>
            <w:tcW w:w="6607" w:type="dxa"/>
            <w:tcBorders>
              <w:top w:val="single" w:color="auto" w:sz="4" w:space="0"/>
              <w:left w:val="single" w:color="auto" w:sz="4" w:space="0"/>
              <w:bottom w:val="single" w:color="auto" w:sz="4" w:space="0"/>
              <w:right w:val="single" w:color="auto" w:sz="4" w:space="0"/>
            </w:tcBorders>
          </w:tcPr>
          <w:p w14:paraId="22DA502B">
            <w:pPr>
              <w:spacing w:line="420" w:lineRule="exact"/>
              <w:rPr>
                <w:bCs/>
                <w:iCs/>
                <w:color w:val="000000"/>
                <w:sz w:val="24"/>
              </w:rPr>
            </w:pPr>
            <w:r>
              <w:rPr>
                <w:bCs/>
                <w:iCs/>
                <w:color w:val="000000"/>
                <w:sz w:val="24"/>
              </w:rPr>
              <w:t>2025-</w:t>
            </w:r>
            <w:r>
              <w:rPr>
                <w:rFonts w:hint="eastAsia"/>
                <w:bCs/>
                <w:iCs/>
                <w:color w:val="000000"/>
                <w:sz w:val="24"/>
              </w:rPr>
              <w:t>12</w:t>
            </w:r>
            <w:r>
              <w:rPr>
                <w:bCs/>
                <w:iCs/>
                <w:color w:val="000000"/>
                <w:sz w:val="24"/>
              </w:rPr>
              <w:t>-</w:t>
            </w:r>
            <w:r>
              <w:rPr>
                <w:rFonts w:hint="eastAsia"/>
                <w:bCs/>
                <w:iCs/>
                <w:color w:val="000000"/>
                <w:sz w:val="24"/>
              </w:rPr>
              <w:t>30</w:t>
            </w:r>
          </w:p>
        </w:tc>
      </w:tr>
    </w:tbl>
    <w:p w14:paraId="2CA41720"/>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2B7BB">
    <w:pPr>
      <w:pStyle w:val="3"/>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C9396">
    <w:pPr>
      <w:pStyle w:val="4"/>
      <w:pBdr>
        <w:bottom w:val="single" w:color="auto" w:sz="4" w:space="0"/>
      </w:pBdr>
      <w:jc w:val="left"/>
    </w:pPr>
    <w:r>
      <w:rPr>
        <w:rFonts w:hint="eastAsia"/>
      </w:rPr>
      <w:drawing>
        <wp:anchor distT="0" distB="0" distL="114300" distR="114300" simplePos="0" relativeHeight="251659264" behindDoc="0" locked="0" layoutInCell="1" allowOverlap="1">
          <wp:simplePos x="0" y="0"/>
          <wp:positionH relativeFrom="column">
            <wp:posOffset>14605</wp:posOffset>
          </wp:positionH>
          <wp:positionV relativeFrom="paragraph">
            <wp:posOffset>-197485</wp:posOffset>
          </wp:positionV>
          <wp:extent cx="1196340" cy="325755"/>
          <wp:effectExtent l="0" t="0" r="0" b="17145"/>
          <wp:wrapNone/>
          <wp:docPr id="3" name="图片 2069441879" descr="6014f5e0941f35b1e8572e3527c5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069441879" descr="6014f5e0941f35b1e8572e3527c5117"/>
                  <pic:cNvPicPr>
                    <a:picLocks noChangeAspect="1"/>
                  </pic:cNvPicPr>
                </pic:nvPicPr>
                <pic:blipFill>
                  <a:blip r:embed="rId1"/>
                  <a:srcRect l="6081" t="30446" r="3368" b="28036"/>
                  <a:stretch>
                    <a:fillRect/>
                  </a:stretch>
                </pic:blipFill>
                <pic:spPr>
                  <a:xfrm>
                    <a:off x="0" y="0"/>
                    <a:ext cx="1196340" cy="32575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1C7"/>
    <w:rsid w:val="000008C2"/>
    <w:rsid w:val="000268C0"/>
    <w:rsid w:val="000363B5"/>
    <w:rsid w:val="000375D7"/>
    <w:rsid w:val="00043015"/>
    <w:rsid w:val="00046DDE"/>
    <w:rsid w:val="00047EB9"/>
    <w:rsid w:val="0005072C"/>
    <w:rsid w:val="00060A74"/>
    <w:rsid w:val="00065F93"/>
    <w:rsid w:val="00067110"/>
    <w:rsid w:val="00087D45"/>
    <w:rsid w:val="0009298A"/>
    <w:rsid w:val="000A2808"/>
    <w:rsid w:val="000A3BAC"/>
    <w:rsid w:val="000C0980"/>
    <w:rsid w:val="000C0F1B"/>
    <w:rsid w:val="000C26FD"/>
    <w:rsid w:val="000C2D85"/>
    <w:rsid w:val="000E5700"/>
    <w:rsid w:val="000F0C4B"/>
    <w:rsid w:val="000F0E22"/>
    <w:rsid w:val="00105A04"/>
    <w:rsid w:val="001139BC"/>
    <w:rsid w:val="001169A9"/>
    <w:rsid w:val="00125EB2"/>
    <w:rsid w:val="00142A4C"/>
    <w:rsid w:val="00142CCE"/>
    <w:rsid w:val="00144279"/>
    <w:rsid w:val="001452FF"/>
    <w:rsid w:val="0016617A"/>
    <w:rsid w:val="00167E99"/>
    <w:rsid w:val="001975AB"/>
    <w:rsid w:val="001A00F5"/>
    <w:rsid w:val="001A1F65"/>
    <w:rsid w:val="001A5CE9"/>
    <w:rsid w:val="001C50AD"/>
    <w:rsid w:val="001D22EE"/>
    <w:rsid w:val="001D3DB8"/>
    <w:rsid w:val="001D4C89"/>
    <w:rsid w:val="001D749D"/>
    <w:rsid w:val="001D7A2A"/>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56621"/>
    <w:rsid w:val="00271C8D"/>
    <w:rsid w:val="00273B53"/>
    <w:rsid w:val="0028080C"/>
    <w:rsid w:val="00295257"/>
    <w:rsid w:val="00297703"/>
    <w:rsid w:val="002A0826"/>
    <w:rsid w:val="002A0984"/>
    <w:rsid w:val="002A589B"/>
    <w:rsid w:val="002B1184"/>
    <w:rsid w:val="002B365D"/>
    <w:rsid w:val="002B71B8"/>
    <w:rsid w:val="002B7469"/>
    <w:rsid w:val="002C22C6"/>
    <w:rsid w:val="002C6568"/>
    <w:rsid w:val="002C723B"/>
    <w:rsid w:val="002D39BC"/>
    <w:rsid w:val="002E1B15"/>
    <w:rsid w:val="002E1D3A"/>
    <w:rsid w:val="003005F0"/>
    <w:rsid w:val="003030BF"/>
    <w:rsid w:val="00304F89"/>
    <w:rsid w:val="00306023"/>
    <w:rsid w:val="00327D5D"/>
    <w:rsid w:val="0033570C"/>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267FD"/>
    <w:rsid w:val="00433384"/>
    <w:rsid w:val="0043777D"/>
    <w:rsid w:val="0044138C"/>
    <w:rsid w:val="00454C77"/>
    <w:rsid w:val="0045767F"/>
    <w:rsid w:val="00463E9B"/>
    <w:rsid w:val="00467414"/>
    <w:rsid w:val="00473F30"/>
    <w:rsid w:val="00484992"/>
    <w:rsid w:val="0048591A"/>
    <w:rsid w:val="00486D86"/>
    <w:rsid w:val="0048721A"/>
    <w:rsid w:val="0048768F"/>
    <w:rsid w:val="004A0BD5"/>
    <w:rsid w:val="004A1BBF"/>
    <w:rsid w:val="004A73E5"/>
    <w:rsid w:val="004C19BF"/>
    <w:rsid w:val="004D4F77"/>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A6817"/>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562F7"/>
    <w:rsid w:val="00656B26"/>
    <w:rsid w:val="00661DF0"/>
    <w:rsid w:val="00662505"/>
    <w:rsid w:val="0066674C"/>
    <w:rsid w:val="006760F7"/>
    <w:rsid w:val="006861C7"/>
    <w:rsid w:val="00686DDF"/>
    <w:rsid w:val="00697B12"/>
    <w:rsid w:val="006A55BB"/>
    <w:rsid w:val="006A7613"/>
    <w:rsid w:val="006B661A"/>
    <w:rsid w:val="006B7D00"/>
    <w:rsid w:val="006C6BC5"/>
    <w:rsid w:val="006D30D9"/>
    <w:rsid w:val="006D61A2"/>
    <w:rsid w:val="006E1DB4"/>
    <w:rsid w:val="006F7D0D"/>
    <w:rsid w:val="00710D3C"/>
    <w:rsid w:val="00722803"/>
    <w:rsid w:val="00737716"/>
    <w:rsid w:val="00743287"/>
    <w:rsid w:val="0074579C"/>
    <w:rsid w:val="00753DB6"/>
    <w:rsid w:val="007553A8"/>
    <w:rsid w:val="00763847"/>
    <w:rsid w:val="00765882"/>
    <w:rsid w:val="00771FE3"/>
    <w:rsid w:val="00776BDE"/>
    <w:rsid w:val="00786870"/>
    <w:rsid w:val="00792237"/>
    <w:rsid w:val="0079272A"/>
    <w:rsid w:val="007A1DA9"/>
    <w:rsid w:val="007B2252"/>
    <w:rsid w:val="007B79D9"/>
    <w:rsid w:val="007C67B1"/>
    <w:rsid w:val="007E354A"/>
    <w:rsid w:val="007E69C8"/>
    <w:rsid w:val="00801FE9"/>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07E5"/>
    <w:rsid w:val="008E11AE"/>
    <w:rsid w:val="008E1708"/>
    <w:rsid w:val="008E4844"/>
    <w:rsid w:val="00904492"/>
    <w:rsid w:val="00904DFB"/>
    <w:rsid w:val="0091288E"/>
    <w:rsid w:val="0091457B"/>
    <w:rsid w:val="00923763"/>
    <w:rsid w:val="00930ED6"/>
    <w:rsid w:val="0093293F"/>
    <w:rsid w:val="00933105"/>
    <w:rsid w:val="00946602"/>
    <w:rsid w:val="009474EF"/>
    <w:rsid w:val="00962626"/>
    <w:rsid w:val="009630E7"/>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4C6"/>
    <w:rsid w:val="00A22CDD"/>
    <w:rsid w:val="00A25AEE"/>
    <w:rsid w:val="00A31EB1"/>
    <w:rsid w:val="00A33AEA"/>
    <w:rsid w:val="00A461CD"/>
    <w:rsid w:val="00A469C5"/>
    <w:rsid w:val="00A5317D"/>
    <w:rsid w:val="00A6284E"/>
    <w:rsid w:val="00A631B0"/>
    <w:rsid w:val="00A63E81"/>
    <w:rsid w:val="00A8775A"/>
    <w:rsid w:val="00AA5998"/>
    <w:rsid w:val="00AB07E7"/>
    <w:rsid w:val="00AC25B0"/>
    <w:rsid w:val="00AD1BA8"/>
    <w:rsid w:val="00B0172F"/>
    <w:rsid w:val="00B02A29"/>
    <w:rsid w:val="00B03522"/>
    <w:rsid w:val="00B04AD6"/>
    <w:rsid w:val="00B14CAA"/>
    <w:rsid w:val="00B257CE"/>
    <w:rsid w:val="00B3101B"/>
    <w:rsid w:val="00B364CD"/>
    <w:rsid w:val="00B4746C"/>
    <w:rsid w:val="00B65354"/>
    <w:rsid w:val="00B71A0E"/>
    <w:rsid w:val="00B81765"/>
    <w:rsid w:val="00B832F5"/>
    <w:rsid w:val="00BA2FAB"/>
    <w:rsid w:val="00BB5E28"/>
    <w:rsid w:val="00BD15F3"/>
    <w:rsid w:val="00BD7986"/>
    <w:rsid w:val="00BD79D3"/>
    <w:rsid w:val="00BE26EA"/>
    <w:rsid w:val="00C04F82"/>
    <w:rsid w:val="00C15AC0"/>
    <w:rsid w:val="00C26030"/>
    <w:rsid w:val="00C41091"/>
    <w:rsid w:val="00C60778"/>
    <w:rsid w:val="00C63056"/>
    <w:rsid w:val="00C661D1"/>
    <w:rsid w:val="00C75D01"/>
    <w:rsid w:val="00C775BA"/>
    <w:rsid w:val="00C85331"/>
    <w:rsid w:val="00C85A50"/>
    <w:rsid w:val="00C94D46"/>
    <w:rsid w:val="00CA13B1"/>
    <w:rsid w:val="00CA443A"/>
    <w:rsid w:val="00CB2461"/>
    <w:rsid w:val="00CB37FD"/>
    <w:rsid w:val="00CC32E3"/>
    <w:rsid w:val="00CC4D65"/>
    <w:rsid w:val="00CC61E7"/>
    <w:rsid w:val="00CD0F2D"/>
    <w:rsid w:val="00CD25AD"/>
    <w:rsid w:val="00CD3FFC"/>
    <w:rsid w:val="00CF565C"/>
    <w:rsid w:val="00D016A3"/>
    <w:rsid w:val="00D238C1"/>
    <w:rsid w:val="00D512E3"/>
    <w:rsid w:val="00D602C9"/>
    <w:rsid w:val="00D8766B"/>
    <w:rsid w:val="00D879B1"/>
    <w:rsid w:val="00DA26A9"/>
    <w:rsid w:val="00DB01FF"/>
    <w:rsid w:val="00DC5CFE"/>
    <w:rsid w:val="00DC7778"/>
    <w:rsid w:val="00DD069A"/>
    <w:rsid w:val="00DE494A"/>
    <w:rsid w:val="00DE7391"/>
    <w:rsid w:val="00DF2DB5"/>
    <w:rsid w:val="00DF6560"/>
    <w:rsid w:val="00E04CC0"/>
    <w:rsid w:val="00E136FF"/>
    <w:rsid w:val="00E233CD"/>
    <w:rsid w:val="00E32528"/>
    <w:rsid w:val="00E35F26"/>
    <w:rsid w:val="00E53165"/>
    <w:rsid w:val="00E61EF7"/>
    <w:rsid w:val="00E663B4"/>
    <w:rsid w:val="00E80CEB"/>
    <w:rsid w:val="00EA5103"/>
    <w:rsid w:val="00EA5545"/>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77B0E"/>
    <w:rsid w:val="00F9272E"/>
    <w:rsid w:val="00F97743"/>
    <w:rsid w:val="00FA6DAF"/>
    <w:rsid w:val="00FB718E"/>
    <w:rsid w:val="00FC24F1"/>
    <w:rsid w:val="00FC6884"/>
    <w:rsid w:val="00FE62F3"/>
    <w:rsid w:val="00FF71D2"/>
    <w:rsid w:val="0C4F2692"/>
    <w:rsid w:val="19913899"/>
    <w:rsid w:val="1B2418A5"/>
    <w:rsid w:val="1DBD26D8"/>
    <w:rsid w:val="1FBFC074"/>
    <w:rsid w:val="21DF65FA"/>
    <w:rsid w:val="2AAE6538"/>
    <w:rsid w:val="30457D7D"/>
    <w:rsid w:val="310A673E"/>
    <w:rsid w:val="36FB9E1F"/>
    <w:rsid w:val="37B82BBD"/>
    <w:rsid w:val="38DA74D4"/>
    <w:rsid w:val="3BFA3B96"/>
    <w:rsid w:val="3CEF3472"/>
    <w:rsid w:val="3D7523E4"/>
    <w:rsid w:val="3EFF16E9"/>
    <w:rsid w:val="3F430C5D"/>
    <w:rsid w:val="46C25C3E"/>
    <w:rsid w:val="531E67A2"/>
    <w:rsid w:val="56CB2A1D"/>
    <w:rsid w:val="657367CA"/>
    <w:rsid w:val="70B9601A"/>
    <w:rsid w:val="726703EA"/>
    <w:rsid w:val="738D470C"/>
    <w:rsid w:val="77105A95"/>
    <w:rsid w:val="77CD4F09"/>
    <w:rsid w:val="77CF73AC"/>
    <w:rsid w:val="78FF0116"/>
    <w:rsid w:val="7BC44A48"/>
    <w:rsid w:val="7D5FE565"/>
    <w:rsid w:val="B7DDD54D"/>
    <w:rsid w:val="E3FFE6ED"/>
    <w:rsid w:val="F5DB8A63"/>
    <w:rsid w:val="F797912E"/>
    <w:rsid w:val="FE7B4896"/>
    <w:rsid w:val="FFEE31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9"/>
    <w:qFormat/>
    <w:uiPriority w:val="0"/>
    <w:pPr>
      <w:jc w:val="left"/>
    </w:pPr>
  </w:style>
  <w:style w:type="paragraph" w:styleId="3">
    <w:name w:val="footer"/>
    <w:basedOn w:val="1"/>
    <w:link w:val="14"/>
    <w:qFormat/>
    <w:uiPriority w:val="0"/>
    <w:pPr>
      <w:tabs>
        <w:tab w:val="center" w:pos="4153"/>
        <w:tab w:val="right" w:pos="8306"/>
      </w:tabs>
      <w:snapToGrid w:val="0"/>
      <w:jc w:val="left"/>
    </w:pPr>
    <w:rPr>
      <w:sz w:val="18"/>
      <w:szCs w:val="18"/>
    </w:rPr>
  </w:style>
  <w:style w:type="paragraph" w:styleId="4">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6">
    <w:name w:val="annotation subject"/>
    <w:basedOn w:val="2"/>
    <w:next w:val="2"/>
    <w:link w:val="20"/>
    <w:qFormat/>
    <w:uiPriority w:val="0"/>
    <w:rPr>
      <w:b/>
      <w:bCs/>
    </w:rPr>
  </w:style>
  <w:style w:type="character" w:styleId="9">
    <w:name w:val="annotation reference"/>
    <w:basedOn w:val="8"/>
    <w:qFormat/>
    <w:uiPriority w:val="0"/>
    <w:rPr>
      <w:sz w:val="21"/>
      <w:szCs w:val="21"/>
    </w:rPr>
  </w:style>
  <w:style w:type="paragraph" w:customStyle="1" w:styleId="10">
    <w:name w:val="_Style 6"/>
    <w:basedOn w:val="1"/>
    <w:qFormat/>
    <w:uiPriority w:val="34"/>
    <w:pPr>
      <w:ind w:firstLine="420" w:firstLineChars="200"/>
    </w:pPr>
    <w:rPr>
      <w:rFonts w:ascii="Calibri" w:hAnsi="Calibri"/>
      <w:szCs w:val="22"/>
    </w:rPr>
  </w:style>
  <w:style w:type="paragraph" w:customStyle="1" w:styleId="11">
    <w:name w:val="Char Char Char"/>
    <w:basedOn w:val="1"/>
    <w:qFormat/>
    <w:uiPriority w:val="0"/>
    <w:rPr>
      <w:szCs w:val="21"/>
    </w:rPr>
  </w:style>
  <w:style w:type="paragraph" w:customStyle="1" w:styleId="12">
    <w:name w:val="Char Char Char Char Char Char Char Char Char Char Char Char Char Char Char Char"/>
    <w:basedOn w:val="1"/>
    <w:qFormat/>
    <w:uiPriority w:val="0"/>
  </w:style>
  <w:style w:type="paragraph" w:customStyle="1" w:styleId="13">
    <w:name w:val="Char Char Char1"/>
    <w:basedOn w:val="1"/>
    <w:qFormat/>
    <w:uiPriority w:val="0"/>
  </w:style>
  <w:style w:type="character" w:customStyle="1" w:styleId="14">
    <w:name w:val="页脚 字符"/>
    <w:basedOn w:val="8"/>
    <w:link w:val="3"/>
    <w:qFormat/>
    <w:uiPriority w:val="0"/>
    <w:rPr>
      <w:kern w:val="2"/>
      <w:sz w:val="18"/>
      <w:szCs w:val="18"/>
    </w:rPr>
  </w:style>
  <w:style w:type="character" w:customStyle="1" w:styleId="15">
    <w:name w:val="页眉 字符"/>
    <w:basedOn w:val="8"/>
    <w:link w:val="4"/>
    <w:qFormat/>
    <w:uiPriority w:val="0"/>
    <w:rPr>
      <w:kern w:val="2"/>
      <w:sz w:val="18"/>
      <w:szCs w:val="18"/>
    </w:rPr>
  </w:style>
  <w:style w:type="paragraph" w:customStyle="1" w:styleId="16">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17">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18">
    <w:name w:val="修订3"/>
    <w:hidden/>
    <w:unhideWhenUsed/>
    <w:qFormat/>
    <w:uiPriority w:val="99"/>
    <w:rPr>
      <w:rFonts w:ascii="Times New Roman" w:hAnsi="Times New Roman" w:eastAsia="宋体" w:cs="Times New Roman"/>
      <w:kern w:val="2"/>
      <w:sz w:val="21"/>
      <w:szCs w:val="24"/>
      <w:lang w:val="en-US" w:eastAsia="zh-CN" w:bidi="ar-SA"/>
    </w:rPr>
  </w:style>
  <w:style w:type="character" w:customStyle="1" w:styleId="19">
    <w:name w:val="批注文字 字符"/>
    <w:basedOn w:val="8"/>
    <w:link w:val="2"/>
    <w:qFormat/>
    <w:uiPriority w:val="0"/>
    <w:rPr>
      <w:kern w:val="2"/>
      <w:sz w:val="21"/>
      <w:szCs w:val="24"/>
    </w:rPr>
  </w:style>
  <w:style w:type="character" w:customStyle="1" w:styleId="20">
    <w:name w:val="批注主题 字符"/>
    <w:basedOn w:val="19"/>
    <w:link w:val="6"/>
    <w:qFormat/>
    <w:uiPriority w:val="0"/>
    <w:rPr>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1174</Words>
  <Characters>1220</Characters>
  <Lines>2</Lines>
  <Paragraphs>4</Paragraphs>
  <TotalTime>12</TotalTime>
  <ScaleCrop>false</ScaleCrop>
  <LinksUpToDate>false</LinksUpToDate>
  <CharactersWithSpaces>1314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2025-12-30T08:11:00Z</dcterms:created>
  <dc:creator>微软用户</dc:creator>
  <cp:lastModifiedBy>张朝葳zhangzhaowei</cp:lastModifiedBy>
  <cp:lastPrinted>2025-12-30T09:30:00Z</cp:lastPrinted>
  <dcterms:modified xsi:type="dcterms:W3CDTF">2025-12-30T11:11:35Z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6A19F962C7F1420292041BE53BFDCF00_13</vt:lpwstr>
  </property>
  <property fmtid="{D5CDD505-2E9C-101B-9397-08002B2CF9AE}" pid="4" name="KSOTemplateDocerSaveRecord">
    <vt:lpwstr>eyJoZGlkIjoiZjY1M2RlN2E0OWIxN2JjZWJhMjM4Y2MzNTU5ZTUzMjciLCJ1c2VySWQiOiI0NDk2NDg0MzEifQ==</vt:lpwstr>
  </property>
</Properties>
</file>