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E89E6">
      <w:pPr>
        <w:spacing w:before="156" w:beforeLines="50" w:after="156" w:afterLines="50" w:line="400" w:lineRule="exact"/>
        <w:rPr>
          <w:rFonts w:hint="eastAsia" w:asciiTheme="minorEastAsia" w:hAnsiTheme="minorEastAsia" w:eastAsiaTheme="minorEastAsia" w:cstheme="minorEastAsia"/>
          <w:bCs/>
          <w:iCs/>
          <w:color w:val="000000"/>
          <w:sz w:val="24"/>
        </w:rPr>
      </w:pPr>
      <w:r>
        <w:rPr>
          <w:rFonts w:hAnsi="宋体"/>
          <w:bCs/>
          <w:iCs/>
          <w:color w:val="000000"/>
          <w:sz w:val="24"/>
        </w:rPr>
        <w:t>证券代码：</w:t>
      </w:r>
      <w:r>
        <w:rPr>
          <w:rFonts w:hint="eastAsia" w:asciiTheme="minorEastAsia" w:hAnsiTheme="minorEastAsia" w:eastAsiaTheme="minorEastAsia" w:cstheme="minorEastAsia"/>
          <w:color w:val="000000"/>
          <w:sz w:val="24"/>
        </w:rPr>
        <w:t xml:space="preserve">600141                             </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Cs/>
          <w:iCs/>
          <w:color w:val="000000"/>
          <w:sz w:val="24"/>
        </w:rPr>
        <w:t>证券简称：</w:t>
      </w:r>
      <w:r>
        <w:rPr>
          <w:rFonts w:hint="eastAsia" w:asciiTheme="minorEastAsia" w:hAnsiTheme="minorEastAsia" w:eastAsiaTheme="minorEastAsia" w:cstheme="minorEastAsia"/>
          <w:color w:val="000000"/>
          <w:sz w:val="24"/>
        </w:rPr>
        <w:t>兴发集团</w:t>
      </w:r>
    </w:p>
    <w:p w14:paraId="3D9BE1D4">
      <w:pPr>
        <w:spacing w:before="156" w:beforeLines="50" w:after="156" w:afterLines="50" w:line="40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lang w:val="en-US" w:eastAsia="zh-CN"/>
        </w:rPr>
        <w:t>转债</w:t>
      </w:r>
      <w:r>
        <w:rPr>
          <w:rFonts w:hint="eastAsia" w:asciiTheme="minorEastAsia" w:hAnsiTheme="minorEastAsia" w:eastAsiaTheme="minorEastAsia" w:cstheme="minorEastAsia"/>
          <w:bCs/>
          <w:iCs/>
          <w:color w:val="000000"/>
          <w:sz w:val="24"/>
        </w:rPr>
        <w:t>代码：</w:t>
      </w:r>
      <w:r>
        <w:rPr>
          <w:rFonts w:hint="eastAsia" w:asciiTheme="minorEastAsia" w:hAnsiTheme="minorEastAsia" w:eastAsiaTheme="minorEastAsia" w:cstheme="minorEastAsia"/>
          <w:bCs/>
          <w:iCs/>
          <w:color w:val="000000"/>
          <w:sz w:val="24"/>
          <w:lang w:val="en-US" w:eastAsia="zh-CN"/>
        </w:rPr>
        <w:t>110089</w:t>
      </w:r>
      <w:r>
        <w:rPr>
          <w:color w:val="000000"/>
          <w:sz w:val="24"/>
        </w:rPr>
        <w:t xml:space="preserve">                             </w:t>
      </w:r>
      <w:r>
        <w:rPr>
          <w:rFonts w:hint="eastAsia"/>
          <w:color w:val="000000"/>
          <w:sz w:val="24"/>
          <w:lang w:val="en-US" w:eastAsia="zh-CN"/>
        </w:rPr>
        <w:t xml:space="preserve">               转债</w:t>
      </w:r>
      <w:r>
        <w:rPr>
          <w:rFonts w:hAnsi="宋体"/>
          <w:bCs/>
          <w:iCs/>
          <w:color w:val="000000"/>
          <w:sz w:val="24"/>
        </w:rPr>
        <w:t>简称：</w:t>
      </w:r>
      <w:r>
        <w:rPr>
          <w:rFonts w:hint="eastAsia" w:hAnsi="宋体"/>
          <w:bCs/>
          <w:iCs/>
          <w:color w:val="000000"/>
          <w:sz w:val="24"/>
          <w:lang w:val="en-US" w:eastAsia="zh-CN"/>
        </w:rPr>
        <w:t>兴发转债</w:t>
      </w:r>
    </w:p>
    <w:p w14:paraId="68019A1A">
      <w:pPr>
        <w:spacing w:before="156" w:beforeLines="50" w:after="156" w:afterLines="50" w:line="400" w:lineRule="exact"/>
        <w:jc w:val="center"/>
        <w:rPr>
          <w:rFonts w:hint="default" w:ascii="宋体" w:hAnsi="宋体"/>
          <w:b/>
          <w:bCs/>
          <w:iCs/>
          <w:color w:val="000000"/>
          <w:sz w:val="32"/>
          <w:szCs w:val="32"/>
        </w:rPr>
      </w:pPr>
    </w:p>
    <w:p w14:paraId="78E0B449">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湖北兴发化工集团股份有限公司</w:t>
      </w:r>
      <w:r>
        <w:rPr>
          <w:rFonts w:hint="eastAsia" w:ascii="宋体" w:hAnsi="宋体"/>
          <w:b/>
          <w:bCs/>
          <w:iCs/>
          <w:color w:val="000000"/>
          <w:sz w:val="32"/>
          <w:szCs w:val="32"/>
        </w:rPr>
        <w:t>投资者关系活动记录表</w:t>
      </w:r>
    </w:p>
    <w:p w14:paraId="331A7E3B">
      <w:pPr>
        <w:spacing w:line="400" w:lineRule="exact"/>
        <w:jc w:val="both"/>
        <w:rPr>
          <w:rFonts w:hint="default" w:eastAsia="宋体"/>
          <w:bCs/>
          <w:iCs/>
          <w:color w:val="000000"/>
          <w:sz w:val="24"/>
          <w:lang w:val="en-US" w:eastAsia="zh-CN"/>
        </w:rPr>
      </w:pPr>
      <w:r>
        <w:rPr>
          <w:rFonts w:hint="eastAsia" w:ascii="宋体" w:hAnsi="宋体"/>
          <w:bCs/>
          <w:iCs/>
          <w:color w:val="000000"/>
          <w:sz w:val="24"/>
          <w:lang w:val="en-US" w:eastAsia="zh-CN"/>
        </w:rPr>
        <w:t>编号：2025-009</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935"/>
      </w:tblGrid>
      <w:tr w14:paraId="7277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6D3F46">
            <w:pPr>
              <w:spacing w:line="420" w:lineRule="exact"/>
              <w:rPr>
                <w:bCs/>
                <w:iCs/>
                <w:color w:val="000000"/>
                <w:sz w:val="24"/>
              </w:rPr>
            </w:pPr>
            <w:r>
              <w:rPr>
                <w:rFonts w:hAnsi="宋体"/>
                <w:bCs/>
                <w:iCs/>
                <w:color w:val="000000"/>
                <w:kern w:val="0"/>
                <w:sz w:val="24"/>
              </w:rPr>
              <w:t>投资者关系活动类别</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0D4E17E1">
            <w:pPr>
              <w:spacing w:line="420" w:lineRule="exact"/>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分析师会议</w:t>
            </w:r>
          </w:p>
          <w:p w14:paraId="409F943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 xml:space="preserve"> </w:t>
            </w:r>
            <w:r>
              <w:rPr>
                <w:rFonts w:hint="eastAsia"/>
                <w:bCs/>
                <w:iCs/>
                <w:color w:val="000000"/>
                <w:kern w:val="0"/>
                <w:sz w:val="24"/>
                <w:lang w:eastAsia="zh-CN"/>
              </w:rPr>
              <w:t>□</w:t>
            </w:r>
            <w:r>
              <w:rPr>
                <w:rFonts w:hAnsi="宋体"/>
                <w:kern w:val="0"/>
                <w:sz w:val="24"/>
              </w:rPr>
              <w:t>业绩说明会</w:t>
            </w:r>
          </w:p>
          <w:p w14:paraId="314A6BB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路演活动</w:t>
            </w:r>
          </w:p>
          <w:p w14:paraId="24F6DB7E">
            <w:pPr>
              <w:tabs>
                <w:tab w:val="left" w:pos="3045"/>
                <w:tab w:val="center" w:pos="3199"/>
              </w:tabs>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9D529BD">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737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730DE6">
            <w:pPr>
              <w:spacing w:line="420" w:lineRule="exact"/>
              <w:jc w:val="both"/>
              <w:rPr>
                <w:bCs/>
                <w:iCs/>
                <w:color w:val="000000"/>
                <w:kern w:val="0"/>
                <w:sz w:val="24"/>
              </w:rPr>
            </w:pPr>
            <w:r>
              <w:rPr>
                <w:rFonts w:hAnsi="宋体"/>
                <w:bCs/>
                <w:iCs/>
                <w:color w:val="000000"/>
                <w:kern w:val="0"/>
                <w:sz w:val="24"/>
              </w:rPr>
              <w:t>参与单位名称及人员姓名</w:t>
            </w:r>
          </w:p>
        </w:tc>
        <w:tc>
          <w:tcPr>
            <w:tcW w:w="7935"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0542391C">
            <w:pPr>
              <w:spacing w:line="420" w:lineRule="exact"/>
              <w:jc w:val="left"/>
              <w:rPr>
                <w:rFonts w:hint="default" w:ascii="宋体" w:hAnsi="宋体"/>
                <w:sz w:val="24"/>
                <w:lang w:eastAsia="zh-CN"/>
              </w:rPr>
            </w:pPr>
            <w:r>
              <w:rPr>
                <w:rFonts w:hint="default" w:ascii="宋体" w:hAnsi="宋体"/>
                <w:sz w:val="24"/>
                <w:lang w:val="en-US" w:eastAsia="zh-CN"/>
              </w:rPr>
              <w:t>安信基金、百亿私募、北信瑞丰、博时基金、财通资管、长安基金、长城财富、长信基金、大成基金、德邦基金、东方红资管、东海基金、东吴基金、方正富邦、富国基金、光大保德信、广东正圆、广发基金、国海富兰克林、国海证券、国金资管、国寿安保、国寿资产、国寿养老、国泰基金、国投瑞银、国信证券、国元证券、海富通基金、合煦智远、弘毅投资、红塔红土、红土创新、华安基金、华宝基金、华商基金、华泰证券、华西基金、华夏基金、华夏久盈、汇丰晋信、汇泉基金、嘉实基金、建信基金、交银施罗德、景顺长城、九泰基金、民生加银、摩根基金、南方基金、南京证券、诺安基金、鹏华基金、平安资产、浦银安盛、前海开源、青骊投资、睿远基金、上海常春藤、上海合远、上海五地、上投摩根、上银基金、申万菱信、太平基金、太平洋资产、泰康基金、天弘基金、万家基金、望正资产、西部利得、西藏东财、先锋基金、新华资产、信达澳亚、兴业基金、兴全基金、易方达基金、银华基金、永赢基金、圆信永丰、长江养老、长盛基金、招商基金、招银理财、浙商基金、中欧基金、中信保诚、中信建投资本、中信金融资产、中银基金、中邮基金、中原英石、朱雀基金</w:t>
            </w:r>
            <w:r>
              <w:rPr>
                <w:rFonts w:hint="default" w:ascii="宋体" w:hAnsi="宋体"/>
                <w:sz w:val="24"/>
                <w:lang w:eastAsia="zh-CN"/>
              </w:rPr>
              <w:t>、璟恒投资</w:t>
            </w:r>
          </w:p>
        </w:tc>
      </w:tr>
      <w:tr w14:paraId="3A2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67F17167">
            <w:pPr>
              <w:spacing w:line="420" w:lineRule="exact"/>
              <w:rPr>
                <w:bCs/>
                <w:iCs/>
                <w:color w:val="000000"/>
                <w:kern w:val="0"/>
                <w:sz w:val="24"/>
              </w:rPr>
            </w:pPr>
            <w:r>
              <w:rPr>
                <w:rFonts w:hAnsi="宋体"/>
                <w:bCs/>
                <w:iCs/>
                <w:color w:val="000000"/>
                <w:kern w:val="0"/>
                <w:sz w:val="24"/>
              </w:rPr>
              <w:t>时间</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48062A1A">
            <w:pPr>
              <w:spacing w:line="420" w:lineRule="exact"/>
              <w:rPr>
                <w:rFonts w:hint="default" w:eastAsia="宋体"/>
                <w:bCs/>
                <w:iCs/>
                <w:color w:val="000000"/>
                <w:sz w:val="24"/>
                <w:lang w:val="en-US" w:eastAsia="zh-CN"/>
              </w:rPr>
            </w:pPr>
            <w:r>
              <w:rPr>
                <w:rFonts w:hint="eastAsia"/>
                <w:bCs/>
                <w:iCs/>
                <w:color w:val="000000"/>
                <w:sz w:val="24"/>
                <w:lang w:val="en-US" w:eastAsia="zh-CN"/>
              </w:rPr>
              <w:t>2025年12月5日、2025年12月8日、2025年12月9日、2025年12月10日、2025年12月12日、2025年12月17日、2025年12月19日、2025年12月24日、2025年12月29日</w:t>
            </w:r>
          </w:p>
        </w:tc>
      </w:tr>
      <w:tr w14:paraId="1D7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784FDF19">
            <w:pPr>
              <w:spacing w:line="420" w:lineRule="exact"/>
              <w:rPr>
                <w:bCs/>
                <w:iCs/>
                <w:color w:val="000000"/>
                <w:kern w:val="0"/>
                <w:sz w:val="24"/>
              </w:rPr>
            </w:pPr>
            <w:r>
              <w:rPr>
                <w:rFonts w:hAnsi="宋体"/>
                <w:bCs/>
                <w:iCs/>
                <w:color w:val="000000"/>
                <w:kern w:val="0"/>
                <w:sz w:val="24"/>
              </w:rPr>
              <w:t>地点</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14732363">
            <w:pPr>
              <w:spacing w:line="420" w:lineRule="exact"/>
              <w:rPr>
                <w:rFonts w:hint="default" w:eastAsia="宋体"/>
                <w:bCs/>
                <w:iCs/>
                <w:color w:val="000000"/>
                <w:sz w:val="24"/>
                <w:lang w:val="en-US" w:eastAsia="zh-CN"/>
              </w:rPr>
            </w:pPr>
            <w:r>
              <w:rPr>
                <w:rFonts w:hint="eastAsia"/>
                <w:bCs/>
                <w:iCs/>
                <w:color w:val="000000"/>
                <w:sz w:val="24"/>
                <w:lang w:val="en-US" w:eastAsia="zh-CN"/>
              </w:rPr>
              <w:t>线上及线下</w:t>
            </w:r>
          </w:p>
        </w:tc>
      </w:tr>
      <w:tr w14:paraId="5112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5FCDB002">
            <w:pPr>
              <w:spacing w:line="420" w:lineRule="exact"/>
              <w:rPr>
                <w:bCs/>
                <w:iCs/>
                <w:color w:val="000000"/>
                <w:kern w:val="0"/>
                <w:sz w:val="24"/>
              </w:rPr>
            </w:pPr>
            <w:r>
              <w:rPr>
                <w:rFonts w:hAnsi="宋体"/>
                <w:bCs/>
                <w:iCs/>
                <w:color w:val="000000"/>
                <w:kern w:val="0"/>
                <w:sz w:val="24"/>
              </w:rPr>
              <w:t>上市公司接待人员姓名</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4CD7617D">
            <w:pPr>
              <w:spacing w:line="420" w:lineRule="exact"/>
              <w:rPr>
                <w:rFonts w:hint="default" w:ascii="宋体" w:hAnsi="宋体"/>
                <w:bCs/>
                <w:sz w:val="24"/>
              </w:rPr>
            </w:pPr>
            <w:r>
              <w:rPr>
                <w:rFonts w:hint="default" w:ascii="宋体" w:hAnsi="宋体"/>
                <w:bCs/>
                <w:sz w:val="24"/>
              </w:rPr>
              <w:t>董事会秘书鲍伯颖</w:t>
            </w:r>
          </w:p>
        </w:tc>
      </w:tr>
      <w:tr w14:paraId="110E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2F94934">
            <w:pPr>
              <w:spacing w:line="420" w:lineRule="exact"/>
              <w:rPr>
                <w:bCs/>
                <w:iCs/>
                <w:color w:val="000000"/>
                <w:kern w:val="0"/>
                <w:sz w:val="24"/>
              </w:rPr>
            </w:pPr>
            <w:r>
              <w:rPr>
                <w:rFonts w:hAnsi="宋体"/>
                <w:bCs/>
                <w:iCs/>
                <w:color w:val="000000"/>
                <w:kern w:val="0"/>
                <w:sz w:val="24"/>
              </w:rPr>
              <w:t>投资者关系活动主要内容介绍</w:t>
            </w:r>
          </w:p>
          <w:p w14:paraId="4910B35D">
            <w:pPr>
              <w:spacing w:line="420" w:lineRule="exact"/>
              <w:rPr>
                <w:bCs/>
                <w:iCs/>
                <w:color w:val="000000"/>
                <w:sz w:val="24"/>
              </w:rPr>
            </w:pPr>
          </w:p>
        </w:tc>
        <w:tc>
          <w:tcPr>
            <w:tcW w:w="7935" w:type="dxa"/>
            <w:tcBorders>
              <w:top w:val="single" w:color="auto" w:sz="4" w:space="0"/>
              <w:left w:val="single" w:color="auto" w:sz="4" w:space="0"/>
              <w:bottom w:val="single" w:color="auto" w:sz="4" w:space="0"/>
              <w:right w:val="single" w:color="auto" w:sz="4" w:space="0"/>
            </w:tcBorders>
            <w:noWrap w:val="0"/>
            <w:vAlign w:val="top"/>
          </w:tcPr>
          <w:p w14:paraId="31AAC80C">
            <w:pPr>
              <w:spacing w:line="240" w:lineRule="auto"/>
              <w:ind w:firstLine="446" w:firstLineChars="200"/>
              <w:rPr>
                <w:rFonts w:hint="default" w:ascii="宋体" w:hAnsi="宋体" w:eastAsia="宋体" w:cs="Times New Roman"/>
                <w:b/>
                <w:kern w:val="2"/>
                <w:sz w:val="24"/>
                <w:szCs w:val="24"/>
                <w:lang w:val="en-US" w:eastAsia="zh-CN" w:bidi="ar-SA"/>
              </w:rPr>
            </w:pPr>
            <w:r>
              <w:rPr>
                <w:rFonts w:hint="eastAsia" w:ascii="宋体" w:hAnsi="宋体" w:cs="Times New Roman"/>
                <w:b/>
                <w:bCs/>
                <w:kern w:val="2"/>
                <w:sz w:val="24"/>
                <w:szCs w:val="24"/>
                <w:lang w:val="en-US" w:eastAsia="zh-CN" w:bidi="ar-SA"/>
              </w:rPr>
              <w:t>1</w:t>
            </w:r>
            <w:r>
              <w:rPr>
                <w:rFonts w:hint="default" w:ascii="宋体" w:hAnsi="宋体" w:eastAsia="宋体" w:cs="Times New Roman"/>
                <w:b/>
                <w:bCs/>
                <w:kern w:val="2"/>
                <w:sz w:val="24"/>
                <w:szCs w:val="24"/>
                <w:lang w:val="en-US" w:eastAsia="zh-CN" w:bidi="ar-SA"/>
              </w:rPr>
              <w:t>、</w:t>
            </w:r>
            <w:r>
              <w:rPr>
                <w:rFonts w:hint="eastAsia" w:ascii="宋体" w:hAnsi="宋体" w:cs="Times New Roman"/>
                <w:b/>
                <w:bCs/>
                <w:kern w:val="2"/>
                <w:sz w:val="24"/>
                <w:szCs w:val="24"/>
                <w:lang w:val="en-US" w:eastAsia="zh-CN" w:bidi="ar-SA"/>
              </w:rPr>
              <w:t>请问公司对有机硅产品未来的价格趋势怎么看？</w:t>
            </w:r>
          </w:p>
          <w:p w14:paraId="0A72D46F">
            <w:pPr>
              <w:spacing w:line="240" w:lineRule="auto"/>
              <w:ind w:firstLine="446" w:firstLineChars="20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谢谢您对公司的关注！有机硅市场基本面</w:t>
            </w:r>
            <w:r>
              <w:rPr>
                <w:rFonts w:hint="eastAsia" w:ascii="宋体" w:hAnsi="宋体"/>
                <w:sz w:val="24"/>
                <w:szCs w:val="24"/>
                <w:lang w:val="en-US" w:eastAsia="zh-CN"/>
              </w:rPr>
              <w:t>正逐渐</w:t>
            </w:r>
            <w:r>
              <w:rPr>
                <w:rFonts w:hint="default" w:ascii="宋体" w:hAnsi="宋体"/>
                <w:sz w:val="24"/>
                <w:szCs w:val="24"/>
              </w:rPr>
              <w:t>改善，为其价格的合理回升奠定了坚实基础：</w:t>
            </w:r>
            <w:r>
              <w:rPr>
                <w:rFonts w:hint="eastAsia" w:ascii="宋体" w:hAnsi="宋体"/>
                <w:sz w:val="24"/>
                <w:szCs w:val="24"/>
                <w:lang w:val="en-US" w:eastAsia="zh-CN"/>
              </w:rPr>
              <w:t>在</w:t>
            </w:r>
            <w:r>
              <w:rPr>
                <w:rFonts w:hint="default" w:ascii="宋体" w:hAnsi="宋体"/>
                <w:sz w:val="24"/>
                <w:szCs w:val="24"/>
              </w:rPr>
              <w:t>供给</w:t>
            </w:r>
            <w:r>
              <w:rPr>
                <w:rFonts w:hint="eastAsia" w:ascii="宋体" w:hAnsi="宋体"/>
                <w:sz w:val="24"/>
                <w:szCs w:val="24"/>
                <w:lang w:val="en-US" w:eastAsia="zh-CN"/>
              </w:rPr>
              <w:t>层面，国内未来暂</w:t>
            </w:r>
            <w:r>
              <w:rPr>
                <w:rFonts w:hint="default" w:ascii="宋体" w:hAnsi="宋体"/>
                <w:sz w:val="24"/>
                <w:szCs w:val="24"/>
              </w:rPr>
              <w:t>无新增产能，且主要生产企业通过协同自律实施限产，有效促进了市场供需平衡与产品价格修复；</w:t>
            </w:r>
            <w:r>
              <w:rPr>
                <w:rFonts w:hint="eastAsia" w:ascii="宋体" w:hAnsi="宋体"/>
                <w:sz w:val="24"/>
                <w:szCs w:val="24"/>
                <w:lang w:val="en-US" w:eastAsia="zh-CN"/>
              </w:rPr>
              <w:t>在</w:t>
            </w:r>
            <w:r>
              <w:rPr>
                <w:rFonts w:hint="default" w:ascii="宋体" w:hAnsi="宋体"/>
                <w:sz w:val="24"/>
                <w:szCs w:val="24"/>
              </w:rPr>
              <w:t>需求结构</w:t>
            </w:r>
            <w:r>
              <w:rPr>
                <w:rFonts w:hint="eastAsia" w:ascii="宋体" w:hAnsi="宋体"/>
                <w:sz w:val="24"/>
                <w:szCs w:val="24"/>
                <w:lang w:val="en-US" w:eastAsia="zh-CN"/>
              </w:rPr>
              <w:t>层面，</w:t>
            </w:r>
            <w:r>
              <w:rPr>
                <w:rFonts w:hint="default" w:ascii="宋体" w:hAnsi="宋体"/>
                <w:sz w:val="24"/>
                <w:szCs w:val="24"/>
              </w:rPr>
              <w:t>光伏、新能源汽车、电力电子等国家战略性新兴产业的需求贡献度大幅提升，正逐步替代传统建筑领域成为核心增长动力；同时</w:t>
            </w:r>
            <w:r>
              <w:rPr>
                <w:rFonts w:hint="eastAsia" w:ascii="宋体" w:hAnsi="宋体"/>
                <w:sz w:val="24"/>
                <w:szCs w:val="24"/>
                <w:lang w:val="en-US" w:eastAsia="zh-CN"/>
              </w:rPr>
              <w:t>根据公开市场信息，</w:t>
            </w:r>
            <w:r>
              <w:rPr>
                <w:rFonts w:hint="default" w:ascii="宋体" w:hAnsi="宋体"/>
                <w:sz w:val="24"/>
                <w:szCs w:val="24"/>
              </w:rPr>
              <w:t>海外部分产能</w:t>
            </w:r>
            <w:r>
              <w:rPr>
                <w:rFonts w:hint="eastAsia" w:ascii="宋体" w:hAnsi="宋体"/>
                <w:sz w:val="24"/>
                <w:szCs w:val="24"/>
                <w:lang w:val="en-US" w:eastAsia="zh-CN"/>
              </w:rPr>
              <w:t>将</w:t>
            </w:r>
            <w:bookmarkStart w:id="0" w:name="_GoBack"/>
            <w:r>
              <w:rPr>
                <w:rFonts w:hint="eastAsia" w:ascii="宋体" w:hAnsi="宋体"/>
                <w:sz w:val="24"/>
                <w:szCs w:val="24"/>
                <w:lang w:val="en-US" w:eastAsia="zh-CN"/>
              </w:rPr>
              <w:t>在</w:t>
            </w:r>
            <w:r>
              <w:rPr>
                <w:rFonts w:hint="default" w:ascii="宋体" w:hAnsi="宋体"/>
                <w:sz w:val="24"/>
                <w:szCs w:val="24"/>
                <w:lang w:val="en-US" w:eastAsia="zh-CN"/>
              </w:rPr>
              <w:t>2026</w:t>
            </w:r>
            <w:bookmarkEnd w:id="0"/>
            <w:r>
              <w:rPr>
                <w:rFonts w:hint="eastAsia" w:ascii="宋体" w:hAnsi="宋体"/>
                <w:sz w:val="24"/>
                <w:szCs w:val="24"/>
                <w:lang w:val="en-US" w:eastAsia="zh-CN"/>
              </w:rPr>
              <w:t>年</w:t>
            </w:r>
            <w:r>
              <w:rPr>
                <w:rFonts w:hint="default" w:ascii="宋体" w:hAnsi="宋体"/>
                <w:sz w:val="24"/>
                <w:szCs w:val="24"/>
              </w:rPr>
              <w:t>退出，</w:t>
            </w:r>
            <w:r>
              <w:rPr>
                <w:rFonts w:hint="eastAsia" w:ascii="宋体" w:hAnsi="宋体"/>
                <w:sz w:val="24"/>
                <w:szCs w:val="24"/>
                <w:lang w:val="en-US" w:eastAsia="zh-CN"/>
              </w:rPr>
              <w:t>从而</w:t>
            </w:r>
            <w:r>
              <w:rPr>
                <w:rFonts w:hint="default" w:ascii="宋体" w:hAnsi="宋体"/>
                <w:sz w:val="24"/>
                <w:szCs w:val="24"/>
              </w:rPr>
              <w:t>进一步巩固了国</w:t>
            </w:r>
            <w:r>
              <w:rPr>
                <w:rFonts w:hint="eastAsia" w:ascii="宋体" w:hAnsi="宋体"/>
                <w:sz w:val="24"/>
                <w:szCs w:val="24"/>
                <w:lang w:val="en-US" w:eastAsia="zh-CN"/>
              </w:rPr>
              <w:t>内企业</w:t>
            </w:r>
            <w:r>
              <w:rPr>
                <w:rFonts w:hint="default" w:ascii="宋体" w:hAnsi="宋体"/>
                <w:sz w:val="24"/>
                <w:szCs w:val="24"/>
              </w:rPr>
              <w:t>在全球供应链中的优势地位，驱动行业步入良性发展新阶段。</w:t>
            </w:r>
          </w:p>
          <w:p w14:paraId="17B5A33D">
            <w:pPr>
              <w:numPr>
                <w:ilvl w:val="-1"/>
                <w:numId w:val="0"/>
              </w:numPr>
              <w:spacing w:line="240" w:lineRule="auto"/>
              <w:ind w:left="0" w:leftChars="0" w:firstLine="446" w:firstLineChars="200"/>
              <w:rPr>
                <w:rFonts w:hint="default" w:ascii="宋体" w:hAnsi="宋体" w:eastAsia="宋体" w:cs="Times New Roman"/>
                <w:b/>
                <w:kern w:val="2"/>
                <w:sz w:val="24"/>
                <w:szCs w:val="24"/>
                <w:lang w:val="en-US" w:eastAsia="zh-CN" w:bidi="ar-SA"/>
              </w:rPr>
            </w:pPr>
            <w:r>
              <w:rPr>
                <w:rFonts w:hint="default" w:ascii="宋体" w:hAnsi="宋体" w:cs="Times New Roman"/>
                <w:b/>
                <w:bCs/>
                <w:kern w:val="2"/>
                <w:sz w:val="24"/>
                <w:szCs w:val="24"/>
                <w:lang w:val="en-US" w:eastAsia="zh-CN" w:bidi="ar-SA"/>
              </w:rPr>
              <w:t>2</w:t>
            </w:r>
            <w:r>
              <w:rPr>
                <w:rFonts w:hint="default" w:ascii="宋体" w:hAnsi="宋体" w:eastAsia="宋体" w:cs="Times New Roman"/>
                <w:b/>
                <w:bCs/>
                <w:kern w:val="2"/>
                <w:sz w:val="24"/>
                <w:szCs w:val="24"/>
                <w:lang w:val="en-US" w:eastAsia="zh-CN" w:bidi="ar-SA"/>
              </w:rPr>
              <w:t>、</w:t>
            </w:r>
            <w:r>
              <w:rPr>
                <w:rFonts w:hint="eastAsia" w:ascii="宋体" w:hAnsi="宋体" w:cs="Times New Roman"/>
                <w:b/>
                <w:bCs/>
                <w:kern w:val="2"/>
                <w:sz w:val="24"/>
                <w:szCs w:val="24"/>
                <w:lang w:val="en-US" w:eastAsia="zh-CN" w:bidi="ar-SA"/>
              </w:rPr>
              <w:t>最近多地因为大气污染严重，当地磷化工企业限产或者停产，请问贵公司是否因此限产？</w:t>
            </w:r>
          </w:p>
          <w:p w14:paraId="1893172A">
            <w:pPr>
              <w:widowControl/>
              <w:numPr>
                <w:ilvl w:val="-1"/>
                <w:numId w:val="0"/>
              </w:numPr>
              <w:spacing w:line="240" w:lineRule="auto"/>
              <w:ind w:firstLine="446" w:firstLineChars="200"/>
              <w:jc w:val="left"/>
              <w:rPr>
                <w:rFonts w:hint="default" w:ascii="宋体" w:hAnsi="宋体" w:eastAsia="宋体" w:cs="Times New Roman"/>
                <w:b/>
                <w:kern w:val="2"/>
                <w:sz w:val="24"/>
                <w:szCs w:val="24"/>
                <w:lang w:val="en-US" w:eastAsia="zh-CN" w:bidi="ar-SA"/>
              </w:rPr>
            </w:pPr>
            <w:r>
              <w:rPr>
                <w:rFonts w:hint="eastAsia" w:ascii="宋体" w:hAnsi="宋体"/>
                <w:sz w:val="24"/>
                <w:szCs w:val="24"/>
                <w:lang w:val="en-US" w:eastAsia="zh-CN"/>
              </w:rPr>
              <w:t>答：</w:t>
            </w:r>
            <w:r>
              <w:rPr>
                <w:rFonts w:hint="default" w:ascii="宋体" w:hAnsi="宋体"/>
                <w:sz w:val="24"/>
                <w:szCs w:val="24"/>
              </w:rPr>
              <w:t>谢谢您对公司的关注</w:t>
            </w:r>
            <w:r>
              <w:rPr>
                <w:rFonts w:hint="default" w:ascii="宋体" w:hAnsi="宋体" w:eastAsia="宋体" w:cs="Times New Roman"/>
                <w:sz w:val="24"/>
                <w:szCs w:val="24"/>
              </w:rPr>
              <w:t xml:space="preserve">！关于重污染天气应急管控，公司依据国家及地方相关技术指南，积极推进环保绩效分级创建工作。在政府发布预警时，公司会根据已取得的绩效分级，依法依规实施差异化、精准化的管控措施。目前，相关管控政策未对公司的正常生产经营造成重大影响。公司高度重视环境保护工作，并严格遵守国家及地方关于大气污染防治的各项法律法规与政策要求。  </w:t>
            </w:r>
          </w:p>
          <w:p w14:paraId="099A6E9E">
            <w:pPr>
              <w:numPr>
                <w:ilvl w:val="-1"/>
                <w:numId w:val="0"/>
              </w:numPr>
              <w:spacing w:line="240" w:lineRule="auto"/>
              <w:ind w:left="0" w:leftChars="0" w:firstLine="446" w:firstLineChars="200"/>
              <w:rPr>
                <w:rFonts w:hint="default" w:ascii="宋体" w:hAnsi="宋体" w:eastAsia="宋体" w:cs="Times New Roman"/>
                <w:b/>
                <w:kern w:val="2"/>
                <w:sz w:val="24"/>
                <w:szCs w:val="24"/>
                <w:lang w:val="en-US" w:eastAsia="zh-CN" w:bidi="ar-SA"/>
              </w:rPr>
            </w:pPr>
            <w:r>
              <w:rPr>
                <w:rFonts w:hint="default" w:ascii="宋体" w:hAnsi="宋体" w:cs="Times New Roman"/>
                <w:b/>
                <w:bCs/>
                <w:kern w:val="2"/>
                <w:sz w:val="24"/>
                <w:szCs w:val="24"/>
                <w:lang w:val="en-US" w:eastAsia="zh-CN" w:bidi="ar-SA"/>
              </w:rPr>
              <w:t>3</w:t>
            </w:r>
            <w:r>
              <w:rPr>
                <w:rFonts w:hint="default" w:ascii="宋体" w:hAnsi="宋体" w:eastAsia="宋体" w:cs="Times New Roman"/>
                <w:b/>
                <w:bCs/>
                <w:kern w:val="2"/>
                <w:sz w:val="24"/>
                <w:szCs w:val="24"/>
                <w:lang w:val="en-US" w:eastAsia="zh-CN" w:bidi="ar-SA"/>
              </w:rPr>
              <w:t>、请问兴华矿业的磷矿项目进展如何？</w:t>
            </w:r>
          </w:p>
          <w:p w14:paraId="671BC6E6">
            <w:pPr>
              <w:spacing w:line="240" w:lineRule="auto"/>
              <w:ind w:firstLine="446" w:firstLineChars="20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谢谢您对公司的关注！兴华矿业已依法取得远安县杨柳东矿区磷矿探矿权，</w:t>
            </w:r>
            <w:r>
              <w:rPr>
                <w:rFonts w:hint="eastAsia" w:ascii="宋体" w:hAnsi="宋体"/>
                <w:sz w:val="24"/>
                <w:szCs w:val="24"/>
                <w:lang w:val="en-US" w:eastAsia="zh-CN"/>
              </w:rPr>
              <w:t>探转采</w:t>
            </w:r>
            <w:r>
              <w:rPr>
                <w:rFonts w:hint="default" w:ascii="宋体" w:hAnsi="宋体"/>
                <w:sz w:val="24"/>
                <w:szCs w:val="24"/>
              </w:rPr>
              <w:t>相关工作正</w:t>
            </w:r>
            <w:r>
              <w:rPr>
                <w:rFonts w:hint="eastAsia" w:ascii="宋体" w:hAnsi="宋体"/>
                <w:sz w:val="24"/>
                <w:szCs w:val="24"/>
                <w:lang w:val="en-US" w:eastAsia="zh-CN"/>
              </w:rPr>
              <w:t>在抓紧</w:t>
            </w:r>
            <w:r>
              <w:rPr>
                <w:rFonts w:hint="default" w:ascii="宋体" w:hAnsi="宋体"/>
                <w:sz w:val="24"/>
                <w:szCs w:val="24"/>
              </w:rPr>
              <w:t>推进，</w:t>
            </w:r>
            <w:r>
              <w:rPr>
                <w:rFonts w:hint="eastAsia" w:ascii="宋体" w:hAnsi="宋体"/>
                <w:sz w:val="24"/>
                <w:szCs w:val="24"/>
                <w:lang w:val="en-US" w:eastAsia="zh-CN"/>
              </w:rPr>
              <w:t>公司</w:t>
            </w:r>
            <w:r>
              <w:rPr>
                <w:rFonts w:hint="default" w:ascii="宋体" w:hAnsi="宋体"/>
                <w:sz w:val="24"/>
                <w:szCs w:val="24"/>
              </w:rPr>
              <w:t>争取</w:t>
            </w:r>
            <w:r>
              <w:rPr>
                <w:rFonts w:hint="eastAsia" w:ascii="宋体" w:hAnsi="宋体"/>
                <w:sz w:val="24"/>
                <w:szCs w:val="24"/>
                <w:lang w:val="en-US" w:eastAsia="zh-CN"/>
              </w:rPr>
              <w:t>在2026年</w:t>
            </w:r>
            <w:r>
              <w:rPr>
                <w:rFonts w:hint="default" w:ascii="宋体" w:hAnsi="宋体"/>
                <w:sz w:val="24"/>
                <w:szCs w:val="24"/>
              </w:rPr>
              <w:t xml:space="preserve">尽快取得采矿权证并启动采矿项目建设。 </w:t>
            </w:r>
          </w:p>
          <w:p w14:paraId="14B3C613">
            <w:pPr>
              <w:numPr>
                <w:ilvl w:val="-1"/>
                <w:numId w:val="0"/>
              </w:numPr>
              <w:ind w:firstLine="446" w:firstLineChars="200"/>
              <w:rPr>
                <w:rFonts w:hint="eastAsia" w:ascii="宋体" w:hAnsi="宋体"/>
                <w:b/>
                <w:sz w:val="24"/>
                <w:szCs w:val="24"/>
                <w:lang w:val="en-US" w:eastAsia="zh-CN"/>
              </w:rPr>
            </w:pPr>
            <w:r>
              <w:rPr>
                <w:rFonts w:hint="default" w:ascii="宋体" w:hAnsi="宋体"/>
                <w:b/>
                <w:sz w:val="24"/>
                <w:szCs w:val="24"/>
                <w:lang w:val="en-US" w:eastAsia="zh-CN"/>
              </w:rPr>
              <w:t>4</w:t>
            </w:r>
            <w:r>
              <w:rPr>
                <w:rFonts w:hint="eastAsia" w:ascii="宋体" w:hAnsi="宋体"/>
                <w:b/>
                <w:sz w:val="24"/>
                <w:szCs w:val="24"/>
                <w:lang w:val="en-US" w:eastAsia="zh-CN"/>
              </w:rPr>
              <w:t>、据悉，上市公司控股子公司湖北吉星化工集团有限责任公</w:t>
            </w:r>
            <w:r>
              <w:rPr>
                <w:rFonts w:hint="default" w:ascii="宋体" w:hAnsi="宋体"/>
                <w:b/>
                <w:sz w:val="24"/>
                <w:szCs w:val="24"/>
                <w:lang w:eastAsia="zh-CN"/>
              </w:rPr>
              <w:t>司</w:t>
            </w:r>
            <w:r>
              <w:rPr>
                <w:rFonts w:hint="eastAsia" w:ascii="宋体" w:hAnsi="宋体"/>
                <w:b/>
                <w:sz w:val="24"/>
                <w:szCs w:val="24"/>
                <w:lang w:val="en-US" w:eastAsia="zh-CN"/>
              </w:rPr>
              <w:t>参股的湖北宜安联合实业有限责任公司所属麻坪磷矿近日成功取得湖北省应急管理厅颁发的安全生产许可证，标志着该矿全面建成并正式投产。该磷矿探明储量3.15亿吨，服务年限53年，具备年采磷矿400万吨的生产能力。请问，该项目将来能否优先为上市公司发展所需提供大量优质磷矿资源？</w:t>
            </w:r>
          </w:p>
          <w:p w14:paraId="12635AF7">
            <w:pPr>
              <w:numPr>
                <w:ilvl w:val="0"/>
                <w:numId w:val="0"/>
              </w:numPr>
              <w:ind w:firstLine="446" w:firstLineChars="200"/>
              <w:rPr>
                <w:rFonts w:hint="eastAsia" w:ascii="宋体" w:hAnsi="宋体" w:eastAsia="宋体"/>
                <w:sz w:val="24"/>
                <w:szCs w:val="24"/>
                <w:lang w:val="en-US" w:eastAsia="zh-CN"/>
              </w:rPr>
            </w:pPr>
            <w:r>
              <w:rPr>
                <w:rFonts w:hint="eastAsia" w:ascii="宋体" w:hAnsi="宋体"/>
                <w:b w:val="0"/>
                <w:bCs/>
                <w:sz w:val="24"/>
                <w:szCs w:val="24"/>
                <w:lang w:val="en-US" w:eastAsia="zh-CN"/>
              </w:rPr>
              <w:t>答：</w:t>
            </w:r>
            <w:r>
              <w:rPr>
                <w:rFonts w:hint="default" w:ascii="宋体" w:hAnsi="宋体"/>
                <w:sz w:val="24"/>
                <w:szCs w:val="24"/>
              </w:rPr>
              <w:t xml:space="preserve">谢谢您对公司的关注！宜安实业麻坪磷矿已于2025年11月正式投产，其26%-28%的矿石品位具备较好的经济性与加工适应性。该矿山的正式投产进一步增强了公司“矿化一体”产业布局，完善了自主、稳定、高效的原料供应体系。  </w:t>
            </w:r>
          </w:p>
        </w:tc>
      </w:tr>
      <w:tr w14:paraId="18C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30926E74">
            <w:pPr>
              <w:spacing w:line="420" w:lineRule="exact"/>
              <w:rPr>
                <w:bCs/>
                <w:iCs/>
                <w:color w:val="000000"/>
                <w:kern w:val="0"/>
                <w:sz w:val="24"/>
              </w:rPr>
            </w:pPr>
            <w:r>
              <w:rPr>
                <w:rFonts w:hAnsi="宋体"/>
                <w:bCs/>
                <w:iCs/>
                <w:color w:val="000000"/>
                <w:kern w:val="0"/>
                <w:sz w:val="24"/>
              </w:rPr>
              <w:t>附件清单（如有）</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3C20FF0E">
            <w:pPr>
              <w:spacing w:line="420" w:lineRule="exact"/>
              <w:jc w:val="both"/>
              <w:rPr>
                <w:rFonts w:hint="default" w:eastAsia="宋体"/>
                <w:bCs/>
                <w:iCs/>
                <w:color w:val="000000"/>
                <w:sz w:val="24"/>
                <w:lang w:val="en-US" w:eastAsia="zh-CN"/>
              </w:rPr>
            </w:pPr>
            <w:r>
              <w:rPr>
                <w:rFonts w:hint="eastAsia"/>
                <w:bCs/>
                <w:iCs/>
                <w:color w:val="000000"/>
                <w:sz w:val="24"/>
                <w:lang w:val="en-US" w:eastAsia="zh-CN"/>
              </w:rPr>
              <w:t>无</w:t>
            </w:r>
          </w:p>
        </w:tc>
      </w:tr>
      <w:tr w14:paraId="5AB4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855ACED">
            <w:pPr>
              <w:spacing w:line="420" w:lineRule="exact"/>
              <w:rPr>
                <w:bCs/>
                <w:iCs/>
                <w:color w:val="000000"/>
                <w:kern w:val="0"/>
                <w:sz w:val="24"/>
              </w:rPr>
            </w:pPr>
            <w:r>
              <w:rPr>
                <w:rFonts w:hAnsi="宋体"/>
                <w:bCs/>
                <w:iCs/>
                <w:color w:val="000000"/>
                <w:kern w:val="0"/>
                <w:sz w:val="24"/>
              </w:rPr>
              <w:t>日期</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782F3D13">
            <w:pPr>
              <w:spacing w:line="42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rPr>
              <w:t>2025</w:t>
            </w:r>
            <w:r>
              <w:rPr>
                <w:rFonts w:hint="eastAsia" w:asciiTheme="minorEastAsia" w:hAnsiTheme="minorEastAsia" w:eastAsiaTheme="minorEastAsia" w:cstheme="minorEastAsia"/>
                <w:bCs/>
                <w:iCs/>
                <w:color w:val="000000"/>
                <w:sz w:val="24"/>
                <w:lang w:val="en-US" w:eastAsia="zh-CN"/>
              </w:rPr>
              <w:t>年1</w:t>
            </w:r>
            <w:r>
              <w:rPr>
                <w:rFonts w:hint="default" w:asciiTheme="minorEastAsia" w:hAnsiTheme="minorEastAsia" w:eastAsiaTheme="minorEastAsia" w:cstheme="minorEastAsia"/>
                <w:bCs/>
                <w:iCs/>
                <w:color w:val="000000"/>
                <w:sz w:val="24"/>
                <w:lang w:eastAsia="zh-CN"/>
              </w:rPr>
              <w:t>2</w:t>
            </w:r>
            <w:r>
              <w:rPr>
                <w:rFonts w:hint="eastAsia" w:asciiTheme="minorEastAsia" w:hAnsiTheme="minorEastAsia" w:eastAsiaTheme="minorEastAsia" w:cstheme="minorEastAsia"/>
                <w:bCs/>
                <w:iCs/>
                <w:color w:val="000000"/>
                <w:sz w:val="24"/>
                <w:lang w:val="en-US" w:eastAsia="zh-CN"/>
              </w:rPr>
              <w:t>月</w:t>
            </w:r>
            <w:r>
              <w:rPr>
                <w:rFonts w:hint="default" w:asciiTheme="minorEastAsia" w:hAnsiTheme="minorEastAsia" w:eastAsiaTheme="minorEastAsia" w:cstheme="minorEastAsia"/>
                <w:bCs/>
                <w:iCs/>
                <w:color w:val="000000"/>
                <w:sz w:val="24"/>
                <w:lang w:eastAsia="zh-CN"/>
              </w:rPr>
              <w:t>31</w:t>
            </w:r>
            <w:r>
              <w:rPr>
                <w:rFonts w:hint="eastAsia" w:asciiTheme="minorEastAsia" w:hAnsiTheme="minorEastAsia" w:eastAsiaTheme="minorEastAsia" w:cstheme="minorEastAsia"/>
                <w:bCs/>
                <w:iCs/>
                <w:color w:val="000000"/>
                <w:sz w:val="24"/>
                <w:lang w:val="en-US" w:eastAsia="zh-CN"/>
              </w:rPr>
              <w:t>日</w:t>
            </w:r>
          </w:p>
        </w:tc>
      </w:tr>
    </w:tbl>
    <w:p w14:paraId="461E75DE"/>
    <w:sectPr>
      <w:headerReference r:id="rId3" w:type="default"/>
      <w:footerReference r:id="rId4" w:type="default"/>
      <w:pgSz w:w="11906" w:h="16838"/>
      <w:pgMar w:top="2098" w:right="1474" w:bottom="1984" w:left="1587" w:header="851" w:footer="1417" w:gutter="0"/>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3BDE">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C579">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hyphenationZone w:val="36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3C21D37"/>
    <w:rsid w:val="03D80B70"/>
    <w:rsid w:val="048C4D13"/>
    <w:rsid w:val="06392A5C"/>
    <w:rsid w:val="08736595"/>
    <w:rsid w:val="0A821835"/>
    <w:rsid w:val="113061F0"/>
    <w:rsid w:val="1170063A"/>
    <w:rsid w:val="15EC04AB"/>
    <w:rsid w:val="16D16A29"/>
    <w:rsid w:val="171425CE"/>
    <w:rsid w:val="1B2418A5"/>
    <w:rsid w:val="1BC2741A"/>
    <w:rsid w:val="1BD0352B"/>
    <w:rsid w:val="1CFC5477"/>
    <w:rsid w:val="1E62755C"/>
    <w:rsid w:val="1F792DAF"/>
    <w:rsid w:val="1FBFC074"/>
    <w:rsid w:val="20052895"/>
    <w:rsid w:val="2124626D"/>
    <w:rsid w:val="216F3773"/>
    <w:rsid w:val="21C978F2"/>
    <w:rsid w:val="222039B6"/>
    <w:rsid w:val="243C5FC4"/>
    <w:rsid w:val="24A51334"/>
    <w:rsid w:val="276C31F9"/>
    <w:rsid w:val="286A2CF1"/>
    <w:rsid w:val="2B4F2FD9"/>
    <w:rsid w:val="2BD72CB0"/>
    <w:rsid w:val="2E2A7E01"/>
    <w:rsid w:val="33134E71"/>
    <w:rsid w:val="35D408E8"/>
    <w:rsid w:val="36357A85"/>
    <w:rsid w:val="36FB9E1F"/>
    <w:rsid w:val="373828C3"/>
    <w:rsid w:val="38C906C9"/>
    <w:rsid w:val="390239BE"/>
    <w:rsid w:val="39C603EA"/>
    <w:rsid w:val="3B44206B"/>
    <w:rsid w:val="3BFA3B96"/>
    <w:rsid w:val="3CEF3472"/>
    <w:rsid w:val="3D6A7D83"/>
    <w:rsid w:val="3D9C6FA1"/>
    <w:rsid w:val="3EE46F4D"/>
    <w:rsid w:val="3EFF16E9"/>
    <w:rsid w:val="3F012022"/>
    <w:rsid w:val="3F940342"/>
    <w:rsid w:val="40DE6ABE"/>
    <w:rsid w:val="44FF1445"/>
    <w:rsid w:val="4509768C"/>
    <w:rsid w:val="49837298"/>
    <w:rsid w:val="49F34163"/>
    <w:rsid w:val="4A914BA1"/>
    <w:rsid w:val="4AB16FF2"/>
    <w:rsid w:val="4BC1730B"/>
    <w:rsid w:val="4CF95C35"/>
    <w:rsid w:val="51C23892"/>
    <w:rsid w:val="51EE4E78"/>
    <w:rsid w:val="526E0845"/>
    <w:rsid w:val="535D7D17"/>
    <w:rsid w:val="53ED85E1"/>
    <w:rsid w:val="557F5067"/>
    <w:rsid w:val="55F52488"/>
    <w:rsid w:val="59633FBC"/>
    <w:rsid w:val="5991071A"/>
    <w:rsid w:val="5DC2067E"/>
    <w:rsid w:val="60A8066B"/>
    <w:rsid w:val="60F17CF0"/>
    <w:rsid w:val="6109328C"/>
    <w:rsid w:val="61FC5507"/>
    <w:rsid w:val="631101D6"/>
    <w:rsid w:val="65C91FF0"/>
    <w:rsid w:val="65DE652D"/>
    <w:rsid w:val="661F7539"/>
    <w:rsid w:val="671F01BE"/>
    <w:rsid w:val="6A5916A5"/>
    <w:rsid w:val="6AFC79BD"/>
    <w:rsid w:val="6D6F6C53"/>
    <w:rsid w:val="6DE91F83"/>
    <w:rsid w:val="704C034C"/>
    <w:rsid w:val="709D12FB"/>
    <w:rsid w:val="70F65EFA"/>
    <w:rsid w:val="71296ECD"/>
    <w:rsid w:val="7204624A"/>
    <w:rsid w:val="729B6BA2"/>
    <w:rsid w:val="73734C00"/>
    <w:rsid w:val="73F67ACD"/>
    <w:rsid w:val="74547E66"/>
    <w:rsid w:val="74687728"/>
    <w:rsid w:val="76896ED7"/>
    <w:rsid w:val="76CF41D8"/>
    <w:rsid w:val="77CF73AC"/>
    <w:rsid w:val="78FF0116"/>
    <w:rsid w:val="79715686"/>
    <w:rsid w:val="7AE73808"/>
    <w:rsid w:val="7E0048C7"/>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1523</Words>
  <Characters>1603</Characters>
  <Lines>60</Lines>
  <Paragraphs>17</Paragraphs>
  <TotalTime>30</TotalTime>
  <ScaleCrop>false</ScaleCrop>
  <LinksUpToDate>false</LinksUpToDate>
  <CharactersWithSpaces>1737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2012-09-09T16:59:00Z</dcterms:created>
  <dc:creator>微软用户</dc:creator>
  <cp:lastModifiedBy>钱雪沁</cp:lastModifiedBy>
  <cp:lastPrinted>2014-02-21T13:34:00Z</cp:lastPrinted>
  <dcterms:modified xsi:type="dcterms:W3CDTF">2025-12-31T07:10:44Z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3D73ED21C30342C7818F38A971DF0B19_13</vt:lpwstr>
  </property>
  <property fmtid="{D5CDD505-2E9C-101B-9397-08002B2CF9AE}" pid="4" name="KSOTemplateDocerSaveRecord">
    <vt:lpwstr>eyJoZGlkIjoiYzk2OTVkNDcyMzA3OTBhZDVkM2FlNTE1MTFiZTc1YWIiLCJ1c2VySWQiOiIxNzY4NjUyNTkzIn0=</vt:lpwstr>
  </property>
</Properties>
</file>