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CCCA3">
      <w:pPr>
        <w:spacing w:line="360" w:lineRule="auto"/>
        <w:rPr>
          <w:b/>
          <w:sz w:val="24"/>
        </w:rPr>
      </w:pPr>
      <w:r>
        <w:rPr>
          <w:b/>
          <w:sz w:val="24"/>
        </w:rPr>
        <w:t>证券代码：603325                                   证券简称：博隆技术</w:t>
      </w:r>
    </w:p>
    <w:p w14:paraId="65936D9E">
      <w:pPr>
        <w:spacing w:line="360" w:lineRule="auto"/>
        <w:rPr>
          <w:b/>
          <w:sz w:val="24"/>
        </w:rPr>
      </w:pPr>
    </w:p>
    <w:p w14:paraId="63E12F85">
      <w:pPr>
        <w:spacing w:line="360" w:lineRule="auto"/>
        <w:jc w:val="center"/>
        <w:rPr>
          <w:rFonts w:eastAsia="黑体"/>
          <w:b/>
          <w:sz w:val="36"/>
          <w:szCs w:val="36"/>
        </w:rPr>
      </w:pPr>
      <w:bookmarkStart w:id="0" w:name="_Hlk156423753"/>
      <w:r>
        <w:rPr>
          <w:rFonts w:eastAsia="黑体"/>
          <w:b/>
          <w:sz w:val="36"/>
          <w:szCs w:val="36"/>
        </w:rPr>
        <w:t>上海博隆装备技术股份有</w:t>
      </w:r>
      <w:bookmarkStart w:id="10" w:name="_GoBack"/>
      <w:bookmarkEnd w:id="10"/>
      <w:r>
        <w:rPr>
          <w:rFonts w:eastAsia="黑体"/>
          <w:b/>
          <w:sz w:val="36"/>
          <w:szCs w:val="36"/>
        </w:rPr>
        <w:t>限公司</w:t>
      </w:r>
      <w:bookmarkEnd w:id="0"/>
      <w:bookmarkStart w:id="1" w:name="_Hlk156426301"/>
    </w:p>
    <w:p w14:paraId="50E8FB73">
      <w:pPr>
        <w:spacing w:line="360" w:lineRule="auto"/>
        <w:jc w:val="center"/>
        <w:rPr>
          <w:rFonts w:eastAsia="黑体"/>
          <w:b/>
          <w:sz w:val="36"/>
          <w:szCs w:val="36"/>
        </w:rPr>
      </w:pPr>
      <w:r>
        <w:rPr>
          <w:rFonts w:eastAsia="黑体"/>
          <w:b/>
          <w:sz w:val="36"/>
          <w:szCs w:val="36"/>
        </w:rPr>
        <w:t>投资者关系活动记录表</w:t>
      </w:r>
    </w:p>
    <w:bookmarkEnd w:id="1"/>
    <w:p w14:paraId="15034777">
      <w:pPr>
        <w:pStyle w:val="2"/>
        <w:snapToGrid w:val="0"/>
        <w:spacing w:line="360" w:lineRule="auto"/>
        <w:jc w:val="right"/>
        <w:rPr>
          <w:rFonts w:eastAsia="宋体"/>
          <w:sz w:val="21"/>
          <w:szCs w:val="21"/>
        </w:rPr>
      </w:pPr>
      <w:r>
        <w:rPr>
          <w:rFonts w:eastAsia="宋体"/>
          <w:sz w:val="21"/>
          <w:szCs w:val="21"/>
        </w:rPr>
        <w:t>编号：202</w:t>
      </w:r>
      <w:r>
        <w:rPr>
          <w:rFonts w:hint="eastAsia" w:eastAsia="宋体"/>
          <w:sz w:val="21"/>
          <w:szCs w:val="21"/>
        </w:rPr>
        <w:t>5</w:t>
      </w:r>
      <w:r>
        <w:rPr>
          <w:rFonts w:eastAsia="宋体"/>
          <w:sz w:val="21"/>
          <w:szCs w:val="21"/>
        </w:rPr>
        <w:t>-00</w:t>
      </w:r>
      <w:r>
        <w:rPr>
          <w:rFonts w:hint="eastAsia" w:eastAsia="宋体"/>
          <w:sz w:val="21"/>
          <w:szCs w:val="21"/>
        </w:rPr>
        <w:t>7</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6986"/>
      </w:tblGrid>
      <w:tr w14:paraId="385871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9D96E28">
            <w:pPr>
              <w:widowControl/>
              <w:adjustRightInd w:val="0"/>
              <w:snapToGrid w:val="0"/>
              <w:jc w:val="center"/>
              <w:rPr>
                <w:b/>
                <w:kern w:val="0"/>
                <w:szCs w:val="21"/>
              </w:rPr>
            </w:pPr>
            <w:r>
              <w:rPr>
                <w:b/>
                <w:kern w:val="0"/>
                <w:szCs w:val="21"/>
              </w:rPr>
              <w:t>投资者关系</w:t>
            </w:r>
          </w:p>
          <w:p w14:paraId="6563CAC6">
            <w:pPr>
              <w:widowControl/>
              <w:adjustRightInd w:val="0"/>
              <w:snapToGrid w:val="0"/>
              <w:jc w:val="center"/>
              <w:rPr>
                <w:b/>
                <w:kern w:val="0"/>
                <w:szCs w:val="21"/>
              </w:rPr>
            </w:pPr>
            <w:r>
              <w:rPr>
                <w:b/>
                <w:kern w:val="0"/>
                <w:szCs w:val="21"/>
              </w:rPr>
              <w:t>活动类型</w:t>
            </w:r>
          </w:p>
        </w:tc>
        <w:tc>
          <w:tcPr>
            <w:tcW w:w="4005" w:type="pct"/>
            <w:vAlign w:val="center"/>
          </w:tcPr>
          <w:p w14:paraId="4066EA64">
            <w:pPr>
              <w:widowControl/>
              <w:adjustRightInd w:val="0"/>
              <w:snapToGrid w:val="0"/>
              <w:rPr>
                <w:rFonts w:ascii="宋体" w:hAnsi="宋体"/>
                <w:kern w:val="0"/>
                <w:szCs w:val="21"/>
              </w:rPr>
            </w:pPr>
            <w:bookmarkStart w:id="2" w:name="OLE_LINK2"/>
            <w:bookmarkStart w:id="3" w:name="OLE_LINK1"/>
            <w:r>
              <w:rPr>
                <w:rFonts w:ascii="宋体" w:hAnsi="宋体"/>
                <w:kern w:val="0"/>
                <w:szCs w:val="21"/>
              </w:rPr>
              <w:t>√</w:t>
            </w:r>
            <w:bookmarkEnd w:id="2"/>
            <w:bookmarkEnd w:id="3"/>
            <w:r>
              <w:rPr>
                <w:rFonts w:ascii="宋体" w:hAnsi="宋体"/>
                <w:kern w:val="0"/>
                <w:szCs w:val="21"/>
              </w:rPr>
              <w:t>特定对象调研    □分析师会议   □媒体采访   □业绩说明会</w:t>
            </w:r>
          </w:p>
          <w:p w14:paraId="473ADDB6">
            <w:pPr>
              <w:widowControl/>
              <w:adjustRightInd w:val="0"/>
              <w:snapToGrid w:val="0"/>
              <w:rPr>
                <w:kern w:val="0"/>
                <w:szCs w:val="21"/>
              </w:rPr>
            </w:pPr>
            <w:r>
              <w:rPr>
                <w:rFonts w:ascii="宋体" w:hAnsi="宋体"/>
                <w:kern w:val="0"/>
                <w:szCs w:val="21"/>
              </w:rPr>
              <w:t>□新闻发布会      □现场参观     √路演活动   □其他</w:t>
            </w:r>
          </w:p>
        </w:tc>
      </w:tr>
      <w:tr w14:paraId="168B9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40FA18C">
            <w:pPr>
              <w:widowControl/>
              <w:adjustRightInd w:val="0"/>
              <w:snapToGrid w:val="0"/>
              <w:jc w:val="center"/>
              <w:rPr>
                <w:b/>
                <w:kern w:val="0"/>
                <w:szCs w:val="21"/>
              </w:rPr>
            </w:pPr>
            <w:r>
              <w:rPr>
                <w:b/>
                <w:kern w:val="0"/>
                <w:szCs w:val="21"/>
              </w:rPr>
              <w:t>时间</w:t>
            </w:r>
          </w:p>
        </w:tc>
        <w:tc>
          <w:tcPr>
            <w:tcW w:w="4005" w:type="pct"/>
            <w:vAlign w:val="center"/>
          </w:tcPr>
          <w:p w14:paraId="4B5EFFE4">
            <w:pPr>
              <w:widowControl/>
              <w:adjustRightInd w:val="0"/>
              <w:snapToGrid w:val="0"/>
              <w:rPr>
                <w:kern w:val="0"/>
                <w:szCs w:val="21"/>
              </w:rPr>
            </w:pPr>
            <w:r>
              <w:rPr>
                <w:rFonts w:hint="eastAsia"/>
                <w:kern w:val="0"/>
                <w:szCs w:val="21"/>
              </w:rPr>
              <w:t>2025年12月9日、12月10日、12月1</w:t>
            </w:r>
            <w:r>
              <w:rPr>
                <w:kern w:val="0"/>
                <w:szCs w:val="21"/>
              </w:rPr>
              <w:t>1</w:t>
            </w:r>
            <w:r>
              <w:rPr>
                <w:rFonts w:hint="eastAsia"/>
                <w:kern w:val="0"/>
                <w:szCs w:val="21"/>
              </w:rPr>
              <w:t>日、12月12日</w:t>
            </w:r>
          </w:p>
        </w:tc>
      </w:tr>
      <w:tr w14:paraId="7F468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05814140">
            <w:pPr>
              <w:widowControl/>
              <w:adjustRightInd w:val="0"/>
              <w:snapToGrid w:val="0"/>
              <w:jc w:val="center"/>
              <w:rPr>
                <w:b/>
                <w:kern w:val="0"/>
                <w:szCs w:val="21"/>
              </w:rPr>
            </w:pPr>
            <w:r>
              <w:rPr>
                <w:b/>
                <w:kern w:val="0"/>
                <w:szCs w:val="21"/>
              </w:rPr>
              <w:t>地点/</w:t>
            </w:r>
            <w:r>
              <w:rPr>
                <w:rFonts w:hint="eastAsia"/>
                <w:b/>
                <w:kern w:val="0"/>
                <w:szCs w:val="21"/>
              </w:rPr>
              <w:t>形式</w:t>
            </w:r>
          </w:p>
        </w:tc>
        <w:tc>
          <w:tcPr>
            <w:tcW w:w="4005" w:type="pct"/>
            <w:vAlign w:val="center"/>
          </w:tcPr>
          <w:p w14:paraId="4AB0E4CE">
            <w:pPr>
              <w:widowControl/>
              <w:adjustRightInd w:val="0"/>
              <w:snapToGrid w:val="0"/>
              <w:rPr>
                <w:kern w:val="0"/>
                <w:szCs w:val="21"/>
              </w:rPr>
            </w:pPr>
            <w:r>
              <w:rPr>
                <w:rFonts w:hint="eastAsia"/>
                <w:kern w:val="0"/>
                <w:szCs w:val="21"/>
              </w:rPr>
              <w:t>公司会议室、机构会议室</w:t>
            </w:r>
          </w:p>
        </w:tc>
      </w:tr>
      <w:tr w14:paraId="09C24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4EDAAE2D">
            <w:pPr>
              <w:widowControl/>
              <w:adjustRightInd w:val="0"/>
              <w:snapToGrid w:val="0"/>
              <w:jc w:val="center"/>
              <w:rPr>
                <w:kern w:val="0"/>
                <w:szCs w:val="21"/>
              </w:rPr>
            </w:pPr>
            <w:r>
              <w:rPr>
                <w:b/>
                <w:kern w:val="0"/>
                <w:szCs w:val="21"/>
              </w:rPr>
              <w:t>参与单位名称</w:t>
            </w:r>
          </w:p>
        </w:tc>
        <w:tc>
          <w:tcPr>
            <w:tcW w:w="4005" w:type="pct"/>
            <w:vAlign w:val="center"/>
          </w:tcPr>
          <w:p w14:paraId="429D4124">
            <w:pPr>
              <w:rPr>
                <w:szCs w:val="21"/>
              </w:rPr>
            </w:pPr>
            <w:r>
              <w:rPr>
                <w:rFonts w:hint="eastAsia"/>
              </w:rPr>
              <w:t>西部证券、浙商证券、永赢基金、汇添富基金、交银施罗德基金、友邦人寿保险、华泰资管、兴银理财</w:t>
            </w:r>
          </w:p>
        </w:tc>
      </w:tr>
      <w:tr w14:paraId="1B20F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7CB3B6A0">
            <w:pPr>
              <w:widowControl/>
              <w:adjustRightInd w:val="0"/>
              <w:snapToGrid w:val="0"/>
              <w:jc w:val="center"/>
              <w:rPr>
                <w:b/>
                <w:kern w:val="0"/>
                <w:szCs w:val="21"/>
              </w:rPr>
            </w:pPr>
            <w:r>
              <w:rPr>
                <w:b/>
                <w:kern w:val="0"/>
                <w:szCs w:val="21"/>
              </w:rPr>
              <w:t>上市公司</w:t>
            </w:r>
          </w:p>
          <w:p w14:paraId="157223CB">
            <w:pPr>
              <w:widowControl/>
              <w:adjustRightInd w:val="0"/>
              <w:snapToGrid w:val="0"/>
              <w:jc w:val="center"/>
              <w:rPr>
                <w:kern w:val="0"/>
                <w:szCs w:val="21"/>
              </w:rPr>
            </w:pPr>
            <w:r>
              <w:rPr>
                <w:b/>
                <w:kern w:val="0"/>
                <w:szCs w:val="21"/>
              </w:rPr>
              <w:t>接待人员</w:t>
            </w:r>
          </w:p>
        </w:tc>
        <w:tc>
          <w:tcPr>
            <w:tcW w:w="4005" w:type="pct"/>
            <w:vAlign w:val="center"/>
          </w:tcPr>
          <w:p w14:paraId="56D3EC66">
            <w:pPr>
              <w:widowControl/>
              <w:adjustRightInd w:val="0"/>
              <w:snapToGrid w:val="0"/>
              <w:rPr>
                <w:kern w:val="0"/>
                <w:szCs w:val="21"/>
              </w:rPr>
            </w:pPr>
            <w:r>
              <w:rPr>
                <w:kern w:val="0"/>
                <w:szCs w:val="21"/>
              </w:rPr>
              <w:t>董事会秘书安一唱</w:t>
            </w:r>
          </w:p>
        </w:tc>
      </w:tr>
      <w:tr w14:paraId="0FC94F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95" w:type="pct"/>
            <w:noWrap/>
            <w:vAlign w:val="center"/>
          </w:tcPr>
          <w:p w14:paraId="5A414443">
            <w:pPr>
              <w:widowControl/>
              <w:adjustRightInd w:val="0"/>
              <w:snapToGrid w:val="0"/>
              <w:jc w:val="center"/>
              <w:rPr>
                <w:b/>
                <w:kern w:val="0"/>
                <w:szCs w:val="21"/>
              </w:rPr>
            </w:pPr>
            <w:r>
              <w:rPr>
                <w:b/>
                <w:kern w:val="0"/>
                <w:szCs w:val="21"/>
              </w:rPr>
              <w:t>投资者关系活动</w:t>
            </w:r>
          </w:p>
          <w:p w14:paraId="14E4AEBC">
            <w:pPr>
              <w:adjustRightInd w:val="0"/>
              <w:snapToGrid w:val="0"/>
              <w:jc w:val="center"/>
              <w:rPr>
                <w:kern w:val="0"/>
                <w:szCs w:val="21"/>
              </w:rPr>
            </w:pPr>
            <w:r>
              <w:rPr>
                <w:b/>
                <w:kern w:val="0"/>
                <w:szCs w:val="21"/>
              </w:rPr>
              <w:t>主要内容介绍</w:t>
            </w:r>
          </w:p>
        </w:tc>
        <w:tc>
          <w:tcPr>
            <w:tcW w:w="4005" w:type="pct"/>
            <w:vAlign w:val="center"/>
          </w:tcPr>
          <w:p w14:paraId="6117333A">
            <w:pPr>
              <w:ind w:firstLine="210" w:firstLineChars="100"/>
              <w:rPr>
                <w:szCs w:val="21"/>
              </w:rPr>
            </w:pPr>
            <w:bookmarkStart w:id="4" w:name="OLE_LINK3"/>
            <w:bookmarkStart w:id="5" w:name="OLE_LINK4"/>
            <w:r>
              <w:rPr>
                <w:szCs w:val="21"/>
              </w:rPr>
              <w:t>公司近期就经营情况、行业情况等市场关注热点与调研机构进行沟通交流，具体沟通内容如下</w:t>
            </w:r>
            <w:r>
              <w:rPr>
                <w:rFonts w:hint="eastAsia"/>
                <w:szCs w:val="21"/>
              </w:rPr>
              <w:t>（相似提问及密切相关提问归类合并）</w:t>
            </w:r>
            <w:r>
              <w:rPr>
                <w:szCs w:val="21"/>
              </w:rPr>
              <w:t>：</w:t>
            </w:r>
            <w:bookmarkEnd w:id="4"/>
            <w:bookmarkEnd w:id="5"/>
          </w:p>
          <w:p w14:paraId="7A6B0FFA">
            <w:pPr>
              <w:ind w:firstLine="210" w:firstLineChars="100"/>
              <w:rPr>
                <w:szCs w:val="21"/>
              </w:rPr>
            </w:pPr>
          </w:p>
          <w:p w14:paraId="785DB45F">
            <w:pPr>
              <w:ind w:firstLine="211" w:firstLineChars="100"/>
              <w:rPr>
                <w:b/>
                <w:bCs/>
                <w:szCs w:val="21"/>
              </w:rPr>
            </w:pPr>
            <w:r>
              <w:rPr>
                <w:b/>
                <w:bCs/>
                <w:szCs w:val="21"/>
              </w:rPr>
              <w:t>1</w:t>
            </w:r>
            <w:r>
              <w:rPr>
                <w:rFonts w:hint="eastAsia"/>
                <w:b/>
                <w:bCs/>
                <w:szCs w:val="21"/>
              </w:rPr>
              <w:t>．问：以气力输送为核心的粉粒体物料处理系统在石化行业应用普遍，还是在其他行业也有广泛用途？公司产品的适用场景有哪些？全球气力输送系统的市场空间有多大？</w:t>
            </w:r>
          </w:p>
          <w:p w14:paraId="3DDD9147">
            <w:pPr>
              <w:ind w:firstLine="210" w:firstLineChars="100"/>
              <w:rPr>
                <w:szCs w:val="21"/>
              </w:rPr>
            </w:pPr>
            <w:r>
              <w:rPr>
                <w:rFonts w:hint="eastAsia"/>
                <w:szCs w:val="21"/>
              </w:rPr>
              <w:t>答：公司所提供的粉粒体物料处理系统整体解决方案，可广泛应用于石化、化工、新材料、食品、医药等生产流程中涉及粉状、粒状等散状物料输送、处理的众多行业。得益于食品饮料、制药、化工及制造业等领域对无污染解决方案的需求日益增长，对输送效率的要求不断提高，气力输送系统市场持续保持增长态势。根据S&amp;S Insider报告，全球气力输送系统市场在2024年达到351亿美元，预计2032年将达到536亿美元，期间复合年增长率为5.44%。</w:t>
            </w:r>
          </w:p>
          <w:p w14:paraId="4099857C">
            <w:pPr>
              <w:ind w:firstLine="210" w:firstLineChars="100"/>
              <w:rPr>
                <w:szCs w:val="21"/>
              </w:rPr>
            </w:pPr>
          </w:p>
          <w:p w14:paraId="5831FF18">
            <w:pPr>
              <w:ind w:firstLine="211" w:firstLineChars="100"/>
              <w:rPr>
                <w:b/>
                <w:bCs/>
                <w:szCs w:val="21"/>
              </w:rPr>
            </w:pPr>
            <w:r>
              <w:rPr>
                <w:b/>
                <w:bCs/>
                <w:szCs w:val="21"/>
              </w:rPr>
              <w:t>2．问：</w:t>
            </w:r>
            <w:r>
              <w:rPr>
                <w:rFonts w:hint="eastAsia"/>
                <w:b/>
                <w:bCs/>
                <w:szCs w:val="21"/>
              </w:rPr>
              <w:t>未来公司打算主要往哪方面进行行业拓展，行业拓展的进展情况怎么样？</w:t>
            </w:r>
          </w:p>
          <w:p w14:paraId="4C0A2F6C">
            <w:pPr>
              <w:ind w:firstLine="210" w:firstLineChars="100"/>
              <w:rPr>
                <w:szCs w:val="21"/>
              </w:rPr>
            </w:pPr>
            <w:r>
              <w:rPr>
                <w:rFonts w:hint="eastAsia"/>
                <w:szCs w:val="21"/>
              </w:rPr>
              <w:t>答：公司积极探索、布局和开拓新材料、食品、医药、可降解塑料等其他应用领域的市场，拓宽核心技术与产品应用场景。目前公司具备面向其他领域拓展的技术能力和技术储备，作为公司发展战略之一，公司后续会逐步向其他行业拓展。</w:t>
            </w:r>
          </w:p>
          <w:p w14:paraId="265D6AE8">
            <w:pPr>
              <w:ind w:firstLine="210" w:firstLineChars="100"/>
              <w:rPr>
                <w:szCs w:val="21"/>
              </w:rPr>
            </w:pPr>
          </w:p>
          <w:p w14:paraId="118B211D">
            <w:pPr>
              <w:ind w:firstLine="211" w:firstLineChars="100"/>
              <w:rPr>
                <w:b/>
                <w:bCs/>
                <w:szCs w:val="21"/>
              </w:rPr>
            </w:pPr>
            <w:r>
              <w:rPr>
                <w:b/>
                <w:bCs/>
                <w:szCs w:val="21"/>
              </w:rPr>
              <w:t>3</w:t>
            </w:r>
            <w:r>
              <w:rPr>
                <w:rFonts w:hint="eastAsia"/>
                <w:b/>
                <w:bCs/>
                <w:szCs w:val="21"/>
              </w:rPr>
              <w:t>．问：食品、医药等行业的订单体量与石化、化工行业是否存在较大差异？在石化、化工领域，一套设备的价值量大致在什么范围？其他行业的设备价值量大概是多少？</w:t>
            </w:r>
          </w:p>
          <w:p w14:paraId="150DC4DA">
            <w:pPr>
              <w:ind w:firstLine="210" w:firstLineChars="100"/>
              <w:rPr>
                <w:szCs w:val="21"/>
              </w:rPr>
            </w:pPr>
            <w:r>
              <w:rPr>
                <w:rFonts w:hint="eastAsia"/>
                <w:szCs w:val="21"/>
              </w:rPr>
              <w:t>答：在石化、化工行业，公司大型成套系统产品通常生产周期较长、单套设备价格高，产品单套价值多为千万元以上。其他行业的合同单价相对较小，供货范围内的设备规格较小、数量较少，材料也相对简单。但此类项目数量较多、执行周期短，总体市场空间很大。</w:t>
            </w:r>
          </w:p>
          <w:p w14:paraId="3718D71E">
            <w:pPr>
              <w:ind w:firstLine="240" w:firstLineChars="100"/>
              <w:rPr>
                <w:bCs/>
                <w:sz w:val="24"/>
              </w:rPr>
            </w:pPr>
          </w:p>
          <w:p w14:paraId="4820B07D">
            <w:pPr>
              <w:ind w:firstLine="211" w:firstLineChars="100"/>
              <w:rPr>
                <w:b/>
                <w:bCs/>
                <w:szCs w:val="21"/>
              </w:rPr>
            </w:pPr>
            <w:bookmarkStart w:id="6" w:name="OLE_LINK5"/>
            <w:bookmarkStart w:id="7" w:name="OLE_LINK6"/>
            <w:r>
              <w:rPr>
                <w:b/>
                <w:bCs/>
                <w:szCs w:val="21"/>
              </w:rPr>
              <w:t>4．</w:t>
            </w:r>
            <w:r>
              <w:rPr>
                <w:rFonts w:hint="eastAsia"/>
                <w:b/>
                <w:bCs/>
                <w:szCs w:val="21"/>
              </w:rPr>
              <w:t>问：公司下游行业景气度如何，下游行业扩产情况怎么样？近期公司所在行业情况如何？</w:t>
            </w:r>
          </w:p>
          <w:bookmarkEnd w:id="6"/>
          <w:bookmarkEnd w:id="7"/>
          <w:p w14:paraId="291F87B9">
            <w:pPr>
              <w:ind w:firstLine="210" w:firstLineChars="100"/>
              <w:rPr>
                <w:szCs w:val="21"/>
              </w:rPr>
            </w:pPr>
            <w:r>
              <w:rPr>
                <w:rFonts w:hint="eastAsia"/>
                <w:szCs w:val="21"/>
              </w:rPr>
              <w:t>答：2025年前三季度，受益于设备更新、煤化工等政策影响，下游需求稳中有增，市场环境总体平稳。随着国家“大规模设备更新”及“新质生产力”等相关政策不断推进，制造业高端化、智能化、绿色化水平将大幅提升、进程将显著提速，以气力输送为核心的粉粒体物料处理系统未来应用领域有望持续拓宽，拥有更广阔的市场空间。</w:t>
            </w:r>
          </w:p>
          <w:p w14:paraId="57E9D1C1">
            <w:pPr>
              <w:ind w:firstLine="211" w:firstLineChars="100"/>
              <w:rPr>
                <w:b/>
              </w:rPr>
            </w:pPr>
          </w:p>
          <w:p w14:paraId="7399B83F">
            <w:pPr>
              <w:ind w:firstLine="211" w:firstLineChars="100"/>
              <w:rPr>
                <w:b/>
                <w:bCs/>
                <w:szCs w:val="21"/>
              </w:rPr>
            </w:pPr>
            <w:r>
              <w:rPr>
                <w:b/>
                <w:bCs/>
                <w:szCs w:val="21"/>
              </w:rPr>
              <w:t>5</w:t>
            </w:r>
            <w:r>
              <w:rPr>
                <w:rFonts w:hint="eastAsia"/>
                <w:b/>
                <w:bCs/>
                <w:szCs w:val="21"/>
              </w:rPr>
              <w:t>．问：下游客户为何仍要建设如此多的石化项目？需求旺盛的原因是什么？</w:t>
            </w:r>
          </w:p>
          <w:p w14:paraId="6B3E4231">
            <w:pPr>
              <w:ind w:firstLine="210" w:firstLineChars="100"/>
              <w:rPr>
                <w:szCs w:val="21"/>
              </w:rPr>
            </w:pPr>
            <w:r>
              <w:rPr>
                <w:rFonts w:hint="eastAsia"/>
                <w:szCs w:val="21"/>
              </w:rPr>
              <w:t>答：目前，国内合成树脂仍存在一定消费缺口，总体需求旺盛。随着我国经济的逐步复苏，包装、汽车和家电等领域的消费潜力不断释放，合成树脂应用需求不断攀升，为国内新建炼化一体化、煤化工及高端聚烯烃等项目的下游资本投入提供了有力支撑。国内下游产业扩张和结构升级将为公司气力输送系统等产品带来更多的机会。</w:t>
            </w:r>
          </w:p>
          <w:p w14:paraId="4E7E5500">
            <w:pPr>
              <w:ind w:firstLine="210" w:firstLineChars="100"/>
              <w:rPr>
                <w:szCs w:val="21"/>
              </w:rPr>
            </w:pPr>
            <w:r>
              <w:rPr>
                <w:rFonts w:hint="eastAsia"/>
                <w:szCs w:val="21"/>
              </w:rPr>
              <w:t>国内旧项目更新改造方面，国家已出台一系列政策促进技术进步和产业升级。目前，部分大型石化装置已开始实施更新改造。</w:t>
            </w:r>
          </w:p>
          <w:p w14:paraId="1CB9D01F">
            <w:pPr>
              <w:ind w:firstLine="211" w:firstLineChars="100"/>
              <w:rPr>
                <w:b/>
              </w:rPr>
            </w:pPr>
          </w:p>
          <w:p w14:paraId="01B7A76B">
            <w:pPr>
              <w:ind w:firstLine="211" w:firstLineChars="100"/>
              <w:rPr>
                <w:b/>
                <w:bCs/>
                <w:szCs w:val="21"/>
              </w:rPr>
            </w:pPr>
            <w:r>
              <w:rPr>
                <w:b/>
                <w:bCs/>
                <w:szCs w:val="21"/>
              </w:rPr>
              <w:t>6</w:t>
            </w:r>
            <w:r>
              <w:rPr>
                <w:rFonts w:hint="eastAsia"/>
                <w:b/>
                <w:bCs/>
                <w:szCs w:val="21"/>
              </w:rPr>
              <w:t>．问：气力输送系统行业的市场竞争格局是怎样的？</w:t>
            </w:r>
          </w:p>
          <w:p w14:paraId="7D9E579C">
            <w:pPr>
              <w:ind w:firstLine="210" w:firstLineChars="100"/>
              <w:rPr>
                <w:szCs w:val="21"/>
              </w:rPr>
            </w:pPr>
            <w:r>
              <w:rPr>
                <w:rFonts w:hint="eastAsia"/>
                <w:szCs w:val="21"/>
              </w:rPr>
              <w:t>答：目前，国内气力输送行业的市场竞争格局呈现两极化发展态势，数量较多的中小企业在产品的自动化水平和可靠性要求较低的领域竞争激烈；少数具备技术、业绩、规模、资金和大型项目管理经验的国内企业和跨国集团公司，参与石化、化工等行业合成树脂领域的市场竞争。国内气力输送行业尚未出现覆盖全应用领域的大型龙头企业，集中度较为分散。</w:t>
            </w:r>
          </w:p>
          <w:p w14:paraId="3FA3591A">
            <w:pPr>
              <w:ind w:firstLine="210" w:firstLineChars="100"/>
              <w:rPr>
                <w:szCs w:val="21"/>
              </w:rPr>
            </w:pPr>
          </w:p>
          <w:p w14:paraId="6055A2F6">
            <w:pPr>
              <w:ind w:firstLine="211" w:firstLineChars="100"/>
              <w:rPr>
                <w:b/>
                <w:bCs/>
                <w:szCs w:val="21"/>
              </w:rPr>
            </w:pPr>
            <w:bookmarkStart w:id="8" w:name="OLE_LINK9"/>
            <w:bookmarkStart w:id="9" w:name="OLE_LINK8"/>
            <w:r>
              <w:rPr>
                <w:b/>
                <w:bCs/>
                <w:szCs w:val="21"/>
              </w:rPr>
              <w:t>7</w:t>
            </w:r>
            <w:r>
              <w:rPr>
                <w:rFonts w:hint="eastAsia"/>
                <w:b/>
                <w:bCs/>
                <w:szCs w:val="21"/>
              </w:rPr>
              <w:t>．问：公司订单执行周期一般是多长时间？</w:t>
            </w:r>
          </w:p>
          <w:p w14:paraId="5059ACB4">
            <w:pPr>
              <w:ind w:firstLine="210" w:firstLineChars="100"/>
              <w:rPr>
                <w:szCs w:val="21"/>
              </w:rPr>
            </w:pPr>
            <w:r>
              <w:rPr>
                <w:rFonts w:hint="eastAsia"/>
                <w:szCs w:val="21"/>
              </w:rPr>
              <w:t>答：公司大型成套系统项目的实施是一个复杂的系统工程，执行周期通常在两年以上，且项目执行受合同约定、项目现场实施情况等多种因素影响，因此不同项目的执行周期存在差异性。公司获取订单以后根据客户要求的进度分阶段完成设计、采购、生产、发货、安装调试指导等工作，直至客户整体项目验收合格。</w:t>
            </w:r>
          </w:p>
          <w:bookmarkEnd w:id="8"/>
          <w:bookmarkEnd w:id="9"/>
          <w:p w14:paraId="2987BAE9">
            <w:pPr>
              <w:ind w:firstLine="211" w:firstLineChars="100"/>
              <w:rPr>
                <w:b/>
              </w:rPr>
            </w:pPr>
          </w:p>
          <w:p w14:paraId="32C4ACD5">
            <w:pPr>
              <w:ind w:firstLine="211" w:firstLineChars="100"/>
              <w:rPr>
                <w:b/>
                <w:bCs/>
                <w:szCs w:val="21"/>
              </w:rPr>
            </w:pPr>
            <w:r>
              <w:rPr>
                <w:b/>
                <w:bCs/>
                <w:szCs w:val="21"/>
              </w:rPr>
              <w:t>8</w:t>
            </w:r>
            <w:r>
              <w:rPr>
                <w:rFonts w:hint="eastAsia"/>
                <w:b/>
                <w:bCs/>
                <w:szCs w:val="21"/>
              </w:rPr>
              <w:t>．问：发货完成后，公司是否仍需负责设备的安装工作？</w:t>
            </w:r>
          </w:p>
          <w:p w14:paraId="3E27347B">
            <w:pPr>
              <w:ind w:firstLine="210" w:firstLineChars="100"/>
              <w:rPr>
                <w:szCs w:val="21"/>
              </w:rPr>
            </w:pPr>
            <w:r>
              <w:rPr>
                <w:rFonts w:hint="eastAsia"/>
                <w:szCs w:val="21"/>
              </w:rPr>
              <w:t>答：一般情况下，公司不负责产品安装。公司产品发运到项目现场后，通常需要对客户选择的专业安装施工单位进行现场安装施工交底和过程指导，并对客户技术人员进行操作培训，以保证产品的稳定安全运行。</w:t>
            </w:r>
          </w:p>
          <w:p w14:paraId="01152901">
            <w:pPr>
              <w:ind w:firstLine="240" w:firstLineChars="100"/>
              <w:rPr>
                <w:bCs/>
                <w:sz w:val="24"/>
              </w:rPr>
            </w:pPr>
          </w:p>
          <w:p w14:paraId="685FFF39">
            <w:pPr>
              <w:ind w:firstLine="211" w:firstLineChars="100"/>
              <w:rPr>
                <w:b/>
                <w:bCs/>
                <w:szCs w:val="21"/>
              </w:rPr>
            </w:pPr>
            <w:r>
              <w:rPr>
                <w:b/>
                <w:bCs/>
                <w:szCs w:val="21"/>
              </w:rPr>
              <w:t>9</w:t>
            </w:r>
            <w:r>
              <w:rPr>
                <w:rFonts w:hint="eastAsia"/>
                <w:b/>
                <w:bCs/>
                <w:szCs w:val="21"/>
              </w:rPr>
              <w:t>．问：公司的预收款是如何确认收入的？</w:t>
            </w:r>
          </w:p>
          <w:p w14:paraId="45CF1C30">
            <w:pPr>
              <w:ind w:firstLine="210" w:firstLineChars="100"/>
              <w:rPr>
                <w:szCs w:val="21"/>
              </w:rPr>
            </w:pPr>
            <w:r>
              <w:rPr>
                <w:rFonts w:hint="eastAsia"/>
                <w:szCs w:val="21"/>
              </w:rPr>
              <w:t>答：公司根据合同约定分阶段收款，在项目验收前已收款项主要计入合同负债。完成验收达到确认收入条件后，公司将合同负债予以转销并一次性全额确认收入。</w:t>
            </w:r>
          </w:p>
          <w:p w14:paraId="357943F1">
            <w:pPr>
              <w:ind w:firstLine="210" w:firstLineChars="100"/>
              <w:rPr>
                <w:szCs w:val="21"/>
              </w:rPr>
            </w:pPr>
          </w:p>
          <w:p w14:paraId="22162E06">
            <w:pPr>
              <w:ind w:firstLine="211" w:firstLineChars="100"/>
              <w:rPr>
                <w:b/>
                <w:bCs/>
                <w:szCs w:val="21"/>
              </w:rPr>
            </w:pPr>
            <w:r>
              <w:rPr>
                <w:b/>
                <w:bCs/>
                <w:szCs w:val="21"/>
              </w:rPr>
              <w:t>10</w:t>
            </w:r>
            <w:r>
              <w:rPr>
                <w:rFonts w:hint="eastAsia"/>
                <w:b/>
                <w:bCs/>
                <w:szCs w:val="21"/>
              </w:rPr>
              <w:t>．问：公司未来会考虑员工持股或激励吗？</w:t>
            </w:r>
          </w:p>
          <w:p w14:paraId="47F070EC">
            <w:pPr>
              <w:ind w:firstLine="210" w:firstLineChars="100"/>
              <w:rPr>
                <w:szCs w:val="21"/>
              </w:rPr>
            </w:pPr>
            <w:r>
              <w:rPr>
                <w:rFonts w:hint="eastAsia"/>
                <w:szCs w:val="21"/>
              </w:rPr>
              <w:t>答：公司后续将结合公司实际情况积极研究并适时推出对核心骨干员工的激励计划，激发员工的工作积极性和创造性。在人才的激励方面，公司积极创造有利于优秀人才脱颖而出的良好氛围，健全有利于员工成长、责权利相统一、报酬与贡献相对称、兼顾科学与人性的激励约束机制和薪酬体系，为公司高质量发展注入持久动力。</w:t>
            </w:r>
          </w:p>
          <w:p w14:paraId="6480B9E3">
            <w:pPr>
              <w:ind w:firstLine="211" w:firstLineChars="100"/>
              <w:rPr>
                <w:b/>
                <w:bCs/>
                <w:szCs w:val="21"/>
              </w:rPr>
            </w:pPr>
          </w:p>
          <w:p w14:paraId="11F6861A">
            <w:pPr>
              <w:ind w:firstLine="211" w:firstLineChars="100"/>
              <w:rPr>
                <w:b/>
                <w:bCs/>
                <w:szCs w:val="21"/>
              </w:rPr>
            </w:pPr>
            <w:r>
              <w:rPr>
                <w:b/>
                <w:bCs/>
                <w:szCs w:val="21"/>
              </w:rPr>
              <w:t>11．问：</w:t>
            </w:r>
            <w:r>
              <w:rPr>
                <w:rFonts w:hint="eastAsia"/>
                <w:b/>
                <w:bCs/>
                <w:szCs w:val="21"/>
              </w:rPr>
              <w:t>公司对于现金的使用规划如何？未来有没有并购计划？</w:t>
            </w:r>
          </w:p>
          <w:p w14:paraId="4F45528B">
            <w:pPr>
              <w:ind w:firstLine="210" w:firstLineChars="100"/>
              <w:rPr>
                <w:bCs/>
                <w:sz w:val="24"/>
              </w:rPr>
            </w:pPr>
            <w:r>
              <w:rPr>
                <w:rFonts w:hint="eastAsia"/>
                <w:szCs w:val="21"/>
              </w:rPr>
              <w:t>答：公司始终保持稳健的财务管理理念，目前货币资金储备主要用于保障日常运营、核心研发投入及募投项目建设等经营性需求，同时基于长远发展战略，积极关注产业链上下游及相关行业的优质投资标的。若未来启动具体项目并购，公司将严格履行内部决策程序及信息披露义务，确保过程合法合规、信息透明公允。</w:t>
            </w:r>
          </w:p>
          <w:p w14:paraId="1BDCFE5C">
            <w:pPr>
              <w:ind w:firstLine="210" w:firstLineChars="100"/>
              <w:rPr>
                <w:szCs w:val="21"/>
              </w:rPr>
            </w:pPr>
          </w:p>
          <w:p w14:paraId="7881AC1F">
            <w:pPr>
              <w:ind w:firstLine="211" w:firstLineChars="100"/>
              <w:rPr>
                <w:b/>
                <w:bCs/>
                <w:szCs w:val="21"/>
              </w:rPr>
            </w:pPr>
            <w:r>
              <w:rPr>
                <w:b/>
                <w:bCs/>
                <w:szCs w:val="21"/>
              </w:rPr>
              <w:t>12</w:t>
            </w:r>
            <w:r>
              <w:rPr>
                <w:rFonts w:hint="eastAsia"/>
                <w:b/>
                <w:bCs/>
                <w:szCs w:val="21"/>
              </w:rPr>
              <w:t>．问：公司出于什么原因选择收购意大利格瓦尼？收购后意大利格瓦尼发展定位是什么，运营情况如何？</w:t>
            </w:r>
          </w:p>
          <w:p w14:paraId="4E631357">
            <w:pPr>
              <w:ind w:firstLine="210" w:firstLineChars="100"/>
              <w:rPr>
                <w:szCs w:val="21"/>
              </w:rPr>
            </w:pPr>
            <w:r>
              <w:rPr>
                <w:rFonts w:hint="eastAsia"/>
                <w:szCs w:val="21"/>
              </w:rPr>
              <w:t>答：意大利格瓦尼（含其前身）系国际上从事石化、化工、食品、医药等行业气力输送的专业公司，具有50多年的经验积累、专业的设计能力与遍布全球的数百家工厂的合作经验。近年来，业务范围涉及欧洲、美洲、亚洲和非洲等地区，在中国也有较大的市场影响力。为进一步推进公司国际化战略实施、增强公司竞争力，公司于2020年收购了意大利格瓦尼100%股权。</w:t>
            </w:r>
          </w:p>
          <w:p w14:paraId="6AA615F3">
            <w:pPr>
              <w:ind w:firstLine="210" w:firstLineChars="100"/>
              <w:rPr>
                <w:szCs w:val="21"/>
              </w:rPr>
            </w:pPr>
            <w:r>
              <w:rPr>
                <w:rFonts w:hint="eastAsia"/>
                <w:szCs w:val="21"/>
              </w:rPr>
              <w:t>意大利格瓦尼发展定位为公司粉粒体物料处理系统产品的国际业务，目前布局欧美等市场。自被公司收购以来，意大利格瓦尼保持稳健发展。</w:t>
            </w:r>
          </w:p>
          <w:p w14:paraId="462335CB">
            <w:pPr>
              <w:ind w:firstLine="211" w:firstLineChars="100"/>
              <w:rPr>
                <w:b/>
                <w:bCs/>
                <w:szCs w:val="21"/>
              </w:rPr>
            </w:pPr>
          </w:p>
          <w:p w14:paraId="171CE912">
            <w:pPr>
              <w:ind w:firstLine="211" w:firstLineChars="100"/>
              <w:rPr>
                <w:b/>
                <w:bCs/>
                <w:szCs w:val="21"/>
              </w:rPr>
            </w:pPr>
            <w:r>
              <w:rPr>
                <w:rFonts w:hint="eastAsia"/>
                <w:b/>
                <w:bCs/>
                <w:szCs w:val="21"/>
              </w:rPr>
              <w:t>1</w:t>
            </w:r>
            <w:r>
              <w:rPr>
                <w:b/>
                <w:bCs/>
                <w:szCs w:val="21"/>
              </w:rPr>
              <w:t>3</w:t>
            </w:r>
            <w:r>
              <w:rPr>
                <w:rFonts w:hint="eastAsia"/>
                <w:b/>
                <w:bCs/>
                <w:szCs w:val="21"/>
              </w:rPr>
              <w:t>．问：海外市场的需求主要集中在哪里？取得了哪些进展？</w:t>
            </w:r>
          </w:p>
          <w:p w14:paraId="4B261F8B">
            <w:pPr>
              <w:ind w:firstLine="210" w:firstLineChars="100"/>
              <w:rPr>
                <w:szCs w:val="21"/>
              </w:rPr>
            </w:pPr>
            <w:r>
              <w:rPr>
                <w:rFonts w:hint="eastAsia"/>
                <w:szCs w:val="21"/>
              </w:rPr>
              <w:t>答：公司坚持“BLOOM”“GSBI”双品牌战略，响应国家“一带一路”倡议，逐步建立辐射海外的营销网络，积极承揽国外大型气力输送系统项目，提高品牌国际知名度，构建并不断完善海外项目的运营管理体系，持续打造国际竞争力。公司针对海外重点国家和地区的市场、渠道及商业模式展开多维度的探索，稳步推进国际化发展战略。</w:t>
            </w:r>
          </w:p>
          <w:p w14:paraId="03A21A5B">
            <w:pPr>
              <w:ind w:firstLine="211" w:firstLineChars="100"/>
              <w:rPr>
                <w:b/>
                <w:bCs/>
                <w:szCs w:val="21"/>
              </w:rPr>
            </w:pPr>
          </w:p>
          <w:p w14:paraId="1D6F0338">
            <w:pPr>
              <w:ind w:firstLine="211" w:firstLineChars="100"/>
              <w:rPr>
                <w:b/>
                <w:bCs/>
                <w:szCs w:val="21"/>
              </w:rPr>
            </w:pPr>
            <w:r>
              <w:rPr>
                <w:b/>
                <w:bCs/>
                <w:szCs w:val="21"/>
              </w:rPr>
              <w:t>14</w:t>
            </w:r>
            <w:r>
              <w:rPr>
                <w:rFonts w:hint="eastAsia"/>
                <w:b/>
                <w:bCs/>
                <w:szCs w:val="21"/>
              </w:rPr>
              <w:t>．问：目前公司订单整体情况以及结构组成怎么样？</w:t>
            </w:r>
          </w:p>
          <w:p w14:paraId="46DB49A5">
            <w:pPr>
              <w:ind w:firstLine="210" w:firstLineChars="100"/>
              <w:rPr>
                <w:szCs w:val="21"/>
              </w:rPr>
            </w:pPr>
            <w:r>
              <w:rPr>
                <w:rFonts w:hint="eastAsia"/>
                <w:szCs w:val="21"/>
              </w:rPr>
              <w:t>答：截至2025年6月30日，公司在手订单44.48亿元。目前公司在手订单充足，项目正在有序执行中。截至2025年6月30日，公司聚烯烃气力输送成套系统、智能化粉粒体物料处理系统及其他在手订单占比分别为71.15%、28.85%。公司持续跟踪市场上拟在建项目的进展，并积极参与相关投标工作。</w:t>
            </w:r>
          </w:p>
          <w:p w14:paraId="3D43C099">
            <w:pPr>
              <w:widowControl/>
              <w:ind w:firstLine="210" w:firstLineChars="100"/>
              <w:jc w:val="left"/>
              <w:rPr>
                <w:szCs w:val="21"/>
              </w:rPr>
            </w:pPr>
          </w:p>
          <w:p w14:paraId="4E5C7887">
            <w:pPr>
              <w:ind w:firstLine="211" w:firstLineChars="100"/>
              <w:rPr>
                <w:b/>
                <w:bCs/>
                <w:szCs w:val="21"/>
              </w:rPr>
            </w:pPr>
            <w:r>
              <w:rPr>
                <w:b/>
                <w:bCs/>
                <w:szCs w:val="21"/>
              </w:rPr>
              <w:t>15</w:t>
            </w:r>
            <w:r>
              <w:rPr>
                <w:rFonts w:hint="eastAsia"/>
                <w:b/>
                <w:bCs/>
                <w:szCs w:val="21"/>
              </w:rPr>
              <w:t>．问：2025年前三季度公司收入和利润表现都十分亮眼，其原因是什么？</w:t>
            </w:r>
          </w:p>
          <w:p w14:paraId="475CB2B7">
            <w:pPr>
              <w:ind w:firstLine="210" w:firstLineChars="100"/>
              <w:rPr>
                <w:szCs w:val="21"/>
              </w:rPr>
            </w:pPr>
            <w:r>
              <w:rPr>
                <w:rFonts w:hint="eastAsia"/>
                <w:szCs w:val="21"/>
              </w:rPr>
              <w:t>答：公司营业收入主要来自于大项目、大订单，各期分布不均衡。2025年前三季度公司经营状况良好，大项目、大订单交付验收金额同比增加，营业收入大幅增长。</w:t>
            </w:r>
          </w:p>
          <w:p w14:paraId="5D81299C">
            <w:pPr>
              <w:ind w:firstLine="210" w:firstLineChars="100"/>
              <w:rPr>
                <w:szCs w:val="21"/>
              </w:rPr>
            </w:pPr>
            <w:r>
              <w:rPr>
                <w:rFonts w:hint="eastAsia"/>
                <w:szCs w:val="21"/>
              </w:rPr>
              <w:t>公司2025年前三季度归属于上市公司股东的净利润为3.22亿元，同比增长90.08%，主要原因系公司营业收入较去年同期大幅增加，净利润相应增加。</w:t>
            </w:r>
          </w:p>
          <w:p w14:paraId="2D1D19CA">
            <w:pPr>
              <w:ind w:firstLine="210" w:firstLineChars="100"/>
              <w:rPr>
                <w:szCs w:val="21"/>
              </w:rPr>
            </w:pPr>
          </w:p>
          <w:p w14:paraId="35F75213">
            <w:pPr>
              <w:ind w:firstLine="211" w:firstLineChars="100"/>
              <w:rPr>
                <w:b/>
                <w:bCs/>
                <w:szCs w:val="21"/>
              </w:rPr>
            </w:pPr>
            <w:r>
              <w:rPr>
                <w:b/>
                <w:bCs/>
                <w:szCs w:val="21"/>
              </w:rPr>
              <w:t>16</w:t>
            </w:r>
            <w:r>
              <w:rPr>
                <w:rFonts w:hint="eastAsia"/>
                <w:b/>
                <w:bCs/>
                <w:szCs w:val="21"/>
              </w:rPr>
              <w:t>．问：公司营业收入季度间存在波动的原因是什么？达到什么标准能够确认收入？</w:t>
            </w:r>
          </w:p>
          <w:p w14:paraId="6C1462AA">
            <w:pPr>
              <w:ind w:firstLine="210" w:firstLineChars="100"/>
              <w:rPr>
                <w:szCs w:val="21"/>
              </w:rPr>
            </w:pPr>
            <w:r>
              <w:rPr>
                <w:rFonts w:hint="eastAsia"/>
                <w:szCs w:val="21"/>
              </w:rPr>
              <w:t>答：公司营业收入主要来自于大项目、大订单，各季度间收入波动较大，呈现不均衡性。各个大项目、大订单的执行周期也存在一定的差异。公司通常在系统安装调试完成，取得客户签署的试车报告时一次性全额确认收入。公司产品的验收与业主项目整体进度情况有较大相关性。</w:t>
            </w:r>
          </w:p>
          <w:p w14:paraId="3223AE5C">
            <w:pPr>
              <w:ind w:firstLine="240" w:firstLineChars="100"/>
              <w:rPr>
                <w:bCs/>
                <w:sz w:val="24"/>
              </w:rPr>
            </w:pPr>
          </w:p>
          <w:p w14:paraId="57A68948">
            <w:pPr>
              <w:ind w:firstLine="211" w:firstLineChars="100"/>
              <w:rPr>
                <w:b/>
                <w:bCs/>
                <w:szCs w:val="21"/>
              </w:rPr>
            </w:pPr>
            <w:r>
              <w:rPr>
                <w:b/>
                <w:bCs/>
                <w:szCs w:val="21"/>
              </w:rPr>
              <w:t>17</w:t>
            </w:r>
            <w:r>
              <w:rPr>
                <w:rFonts w:hint="eastAsia"/>
                <w:b/>
                <w:bCs/>
                <w:szCs w:val="21"/>
              </w:rPr>
              <w:t>．问：今年第四季度及明年一季度的验收情况如何？</w:t>
            </w:r>
          </w:p>
          <w:p w14:paraId="74DD4FE2">
            <w:pPr>
              <w:ind w:firstLine="210" w:firstLineChars="100"/>
              <w:rPr>
                <w:szCs w:val="21"/>
              </w:rPr>
            </w:pPr>
            <w:r>
              <w:rPr>
                <w:rFonts w:hint="eastAsia"/>
                <w:szCs w:val="21"/>
              </w:rPr>
              <w:t>答：公司产品的验收与业主项目整体进度情况有较大相关性，项目具体验收时点根据客户实际情况确定。公司及时跟进各项目实施进度，符合收入确认条件时确认收入。</w:t>
            </w:r>
          </w:p>
          <w:p w14:paraId="5AD75E9C">
            <w:pPr>
              <w:ind w:firstLine="240" w:firstLineChars="100"/>
              <w:rPr>
                <w:bCs/>
                <w:sz w:val="24"/>
              </w:rPr>
            </w:pPr>
          </w:p>
          <w:p w14:paraId="5AA1E46D">
            <w:pPr>
              <w:ind w:firstLine="211" w:firstLineChars="100"/>
              <w:rPr>
                <w:b/>
                <w:bCs/>
                <w:szCs w:val="21"/>
              </w:rPr>
            </w:pPr>
            <w:r>
              <w:rPr>
                <w:b/>
                <w:bCs/>
                <w:szCs w:val="21"/>
              </w:rPr>
              <w:t>18</w:t>
            </w:r>
            <w:r>
              <w:rPr>
                <w:rFonts w:hint="eastAsia"/>
                <w:b/>
                <w:bCs/>
                <w:szCs w:val="21"/>
              </w:rPr>
              <w:t>．问：公司与博实股份是什么关系？博实股份会参与公司日常经营吗？</w:t>
            </w:r>
          </w:p>
          <w:p w14:paraId="0FC52263">
            <w:pPr>
              <w:ind w:firstLine="210" w:firstLineChars="100"/>
              <w:rPr>
                <w:szCs w:val="21"/>
              </w:rPr>
            </w:pPr>
            <w:r>
              <w:rPr>
                <w:rFonts w:hint="eastAsia"/>
                <w:szCs w:val="21"/>
              </w:rPr>
              <w:t>答：截至2025年9月30日，博实股份持有公司11,519,712股股份，占公司总股本的14.40%，是公司单一最大股东。</w:t>
            </w:r>
          </w:p>
          <w:p w14:paraId="18C4DBF3">
            <w:pPr>
              <w:ind w:firstLine="210" w:firstLineChars="100"/>
              <w:rPr>
                <w:szCs w:val="21"/>
              </w:rPr>
            </w:pPr>
            <w:r>
              <w:rPr>
                <w:rFonts w:hint="eastAsia"/>
                <w:szCs w:val="21"/>
              </w:rPr>
              <w:t>博实股份对公司的投资为财务性投资，并且承诺在公司股东会上与公司实际控制人的一致意见保持一致。公司与博实股份之间资产、人员、财务、机构独立，双方产品应用功能不同，在技术研发、采购、生产、销售等重要经营方面完全独立。</w:t>
            </w:r>
          </w:p>
          <w:p w14:paraId="5336C4A8">
            <w:pPr>
              <w:ind w:firstLine="211" w:firstLineChars="100"/>
              <w:rPr>
                <w:b/>
                <w:bCs/>
                <w:szCs w:val="21"/>
              </w:rPr>
            </w:pPr>
          </w:p>
          <w:p w14:paraId="6BD6FE9C">
            <w:pPr>
              <w:ind w:firstLine="211" w:firstLineChars="100"/>
              <w:rPr>
                <w:b/>
                <w:bCs/>
                <w:szCs w:val="21"/>
              </w:rPr>
            </w:pPr>
            <w:r>
              <w:rPr>
                <w:b/>
                <w:bCs/>
                <w:szCs w:val="21"/>
              </w:rPr>
              <w:t>19</w:t>
            </w:r>
            <w:r>
              <w:rPr>
                <w:rFonts w:hint="eastAsia"/>
                <w:b/>
                <w:bCs/>
                <w:szCs w:val="21"/>
              </w:rPr>
              <w:t>．问：公司募投项目的最新进展情况如何？</w:t>
            </w:r>
          </w:p>
          <w:p w14:paraId="5FF0C739">
            <w:pPr>
              <w:ind w:firstLine="210" w:firstLineChars="100"/>
              <w:rPr>
                <w:bCs/>
                <w:sz w:val="24"/>
              </w:rPr>
            </w:pPr>
            <w:r>
              <w:rPr>
                <w:rFonts w:hint="eastAsia"/>
                <w:szCs w:val="21"/>
              </w:rPr>
              <w:t>答：公司聚烯烃气力输送成套装备项目和研发及总部大楼建设项目正处于工程收尾阶段。</w:t>
            </w:r>
          </w:p>
        </w:tc>
      </w:tr>
      <w:tr w14:paraId="619F4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8FA3650">
            <w:pPr>
              <w:widowControl/>
              <w:adjustRightInd w:val="0"/>
              <w:snapToGrid w:val="0"/>
              <w:jc w:val="center"/>
              <w:rPr>
                <w:b/>
                <w:kern w:val="0"/>
                <w:szCs w:val="21"/>
              </w:rPr>
            </w:pPr>
            <w:r>
              <w:rPr>
                <w:b/>
                <w:kern w:val="0"/>
                <w:szCs w:val="21"/>
              </w:rPr>
              <w:t>附件（如有）</w:t>
            </w:r>
          </w:p>
        </w:tc>
        <w:tc>
          <w:tcPr>
            <w:tcW w:w="4005" w:type="pct"/>
            <w:vAlign w:val="center"/>
          </w:tcPr>
          <w:p w14:paraId="720269BC">
            <w:pPr>
              <w:widowControl/>
              <w:adjustRightInd w:val="0"/>
              <w:snapToGrid w:val="0"/>
              <w:rPr>
                <w:kern w:val="0"/>
                <w:szCs w:val="21"/>
              </w:rPr>
            </w:pPr>
            <w:r>
              <w:rPr>
                <w:kern w:val="0"/>
                <w:szCs w:val="21"/>
              </w:rPr>
              <w:t>无</w:t>
            </w:r>
          </w:p>
        </w:tc>
      </w:tr>
      <w:tr w14:paraId="7C67C0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66E3F9D">
            <w:pPr>
              <w:widowControl/>
              <w:adjustRightInd w:val="0"/>
              <w:snapToGrid w:val="0"/>
              <w:jc w:val="center"/>
              <w:rPr>
                <w:b/>
                <w:kern w:val="0"/>
                <w:szCs w:val="21"/>
              </w:rPr>
            </w:pPr>
            <w:r>
              <w:rPr>
                <w:b/>
                <w:kern w:val="0"/>
                <w:szCs w:val="21"/>
              </w:rPr>
              <w:t>日期</w:t>
            </w:r>
          </w:p>
        </w:tc>
        <w:tc>
          <w:tcPr>
            <w:tcW w:w="4005" w:type="pct"/>
            <w:vAlign w:val="center"/>
          </w:tcPr>
          <w:p w14:paraId="3E8B2DC5">
            <w:pPr>
              <w:widowControl/>
              <w:adjustRightInd w:val="0"/>
              <w:snapToGrid w:val="0"/>
              <w:rPr>
                <w:kern w:val="0"/>
                <w:szCs w:val="21"/>
              </w:rPr>
            </w:pPr>
            <w:r>
              <w:rPr>
                <w:kern w:val="0"/>
                <w:szCs w:val="21"/>
              </w:rPr>
              <w:t>202</w:t>
            </w:r>
            <w:r>
              <w:rPr>
                <w:rFonts w:hint="eastAsia"/>
                <w:kern w:val="0"/>
                <w:szCs w:val="21"/>
              </w:rPr>
              <w:t>5</w:t>
            </w:r>
            <w:r>
              <w:rPr>
                <w:kern w:val="0"/>
                <w:szCs w:val="21"/>
              </w:rPr>
              <w:t>年</w:t>
            </w:r>
            <w:r>
              <w:rPr>
                <w:rFonts w:hint="eastAsia"/>
                <w:kern w:val="0"/>
                <w:szCs w:val="21"/>
              </w:rPr>
              <w:t>12</w:t>
            </w:r>
            <w:r>
              <w:rPr>
                <w:kern w:val="0"/>
                <w:szCs w:val="21"/>
              </w:rPr>
              <w:t>月3</w:t>
            </w:r>
            <w:r>
              <w:rPr>
                <w:rFonts w:hint="eastAsia"/>
                <w:kern w:val="0"/>
                <w:szCs w:val="21"/>
              </w:rPr>
              <w:t>1</w:t>
            </w:r>
            <w:r>
              <w:rPr>
                <w:kern w:val="0"/>
                <w:szCs w:val="21"/>
              </w:rPr>
              <w:t>日</w:t>
            </w:r>
          </w:p>
        </w:tc>
      </w:tr>
    </w:tbl>
    <w:p w14:paraId="33453201">
      <w:pPr>
        <w:jc w:val="left"/>
        <w:rPr>
          <w:szCs w:val="21"/>
        </w:rPr>
      </w:pPr>
      <w:r>
        <w:rPr>
          <w:szCs w:val="21"/>
        </w:rPr>
        <w:t>注1：本记录表中宏观经济行业内容仅供参考，不构成投资建议。</w:t>
      </w:r>
    </w:p>
    <w:p w14:paraId="009C2350">
      <w:pPr>
        <w:jc w:val="left"/>
        <w:rPr>
          <w:szCs w:val="21"/>
        </w:rPr>
      </w:pPr>
      <w:r>
        <w:rPr>
          <w:szCs w:val="21"/>
        </w:rPr>
        <w:t>注2：调研以</w:t>
      </w:r>
      <w:r>
        <w:rPr>
          <w:rFonts w:hint="eastAsia"/>
          <w:szCs w:val="21"/>
        </w:rPr>
        <w:t>现场会议</w:t>
      </w:r>
      <w:r>
        <w:rPr>
          <w:szCs w:val="21"/>
        </w:rPr>
        <w:t>的形式开展，在交流活动中，公司严格遵守相关规定，没有发生未公开重大信息泄露等情况。</w:t>
      </w:r>
    </w:p>
    <w:sectPr>
      <w:footerReference r:id="rId3" w:type="default"/>
      <w:pgSz w:w="11908" w:h="16838"/>
      <w:pgMar w:top="1418" w:right="1701" w:bottom="1418" w:left="1701" w:header="720" w:footer="72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6194698"/>
    </w:sdtPr>
    <w:sdtContent>
      <w:p w14:paraId="01036A77">
        <w:pPr>
          <w:pStyle w:val="5"/>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7E"/>
    <w:rsid w:val="00001234"/>
    <w:rsid w:val="0000153F"/>
    <w:rsid w:val="00001B50"/>
    <w:rsid w:val="00002233"/>
    <w:rsid w:val="000025AD"/>
    <w:rsid w:val="000036D7"/>
    <w:rsid w:val="00004FFF"/>
    <w:rsid w:val="00006F9A"/>
    <w:rsid w:val="000076C9"/>
    <w:rsid w:val="000109B4"/>
    <w:rsid w:val="00010BAC"/>
    <w:rsid w:val="0001111F"/>
    <w:rsid w:val="00011E1E"/>
    <w:rsid w:val="0001213E"/>
    <w:rsid w:val="00012939"/>
    <w:rsid w:val="00014442"/>
    <w:rsid w:val="0001516E"/>
    <w:rsid w:val="000154FB"/>
    <w:rsid w:val="00015B65"/>
    <w:rsid w:val="00015CFB"/>
    <w:rsid w:val="00016318"/>
    <w:rsid w:val="000168BF"/>
    <w:rsid w:val="0001746F"/>
    <w:rsid w:val="00021693"/>
    <w:rsid w:val="0002227D"/>
    <w:rsid w:val="000230C7"/>
    <w:rsid w:val="00024B1E"/>
    <w:rsid w:val="00025BEE"/>
    <w:rsid w:val="000266AA"/>
    <w:rsid w:val="00027101"/>
    <w:rsid w:val="00030143"/>
    <w:rsid w:val="000316BF"/>
    <w:rsid w:val="00031F5E"/>
    <w:rsid w:val="000322B3"/>
    <w:rsid w:val="00032A46"/>
    <w:rsid w:val="00033D42"/>
    <w:rsid w:val="000343EB"/>
    <w:rsid w:val="000359E9"/>
    <w:rsid w:val="000404EC"/>
    <w:rsid w:val="00041AF2"/>
    <w:rsid w:val="00042CE7"/>
    <w:rsid w:val="00044250"/>
    <w:rsid w:val="0004429C"/>
    <w:rsid w:val="0004433B"/>
    <w:rsid w:val="00044748"/>
    <w:rsid w:val="00045F33"/>
    <w:rsid w:val="0004656D"/>
    <w:rsid w:val="00046FC7"/>
    <w:rsid w:val="00052C0B"/>
    <w:rsid w:val="00053383"/>
    <w:rsid w:val="00053B70"/>
    <w:rsid w:val="00053E81"/>
    <w:rsid w:val="0005410E"/>
    <w:rsid w:val="000543B5"/>
    <w:rsid w:val="00054476"/>
    <w:rsid w:val="00054E7C"/>
    <w:rsid w:val="00057256"/>
    <w:rsid w:val="000573D9"/>
    <w:rsid w:val="000579E0"/>
    <w:rsid w:val="00057FEE"/>
    <w:rsid w:val="00062E13"/>
    <w:rsid w:val="00065EA2"/>
    <w:rsid w:val="00066505"/>
    <w:rsid w:val="00067D35"/>
    <w:rsid w:val="00070200"/>
    <w:rsid w:val="000706A0"/>
    <w:rsid w:val="00070974"/>
    <w:rsid w:val="00072F87"/>
    <w:rsid w:val="0007324C"/>
    <w:rsid w:val="00076B82"/>
    <w:rsid w:val="000801B2"/>
    <w:rsid w:val="0008060F"/>
    <w:rsid w:val="00084D13"/>
    <w:rsid w:val="00084E87"/>
    <w:rsid w:val="00085D7E"/>
    <w:rsid w:val="00086404"/>
    <w:rsid w:val="000865ED"/>
    <w:rsid w:val="00086FF6"/>
    <w:rsid w:val="000874F6"/>
    <w:rsid w:val="00087DE3"/>
    <w:rsid w:val="00087F7C"/>
    <w:rsid w:val="00090365"/>
    <w:rsid w:val="00090541"/>
    <w:rsid w:val="00092096"/>
    <w:rsid w:val="0009531D"/>
    <w:rsid w:val="00097277"/>
    <w:rsid w:val="000A08B8"/>
    <w:rsid w:val="000A0C58"/>
    <w:rsid w:val="000A27C2"/>
    <w:rsid w:val="000A3BB3"/>
    <w:rsid w:val="000A5F27"/>
    <w:rsid w:val="000A6EB9"/>
    <w:rsid w:val="000A7586"/>
    <w:rsid w:val="000A78F0"/>
    <w:rsid w:val="000B00A5"/>
    <w:rsid w:val="000B21B6"/>
    <w:rsid w:val="000B234A"/>
    <w:rsid w:val="000B2CFF"/>
    <w:rsid w:val="000B4787"/>
    <w:rsid w:val="000B4A4F"/>
    <w:rsid w:val="000B5B16"/>
    <w:rsid w:val="000B602A"/>
    <w:rsid w:val="000B60AB"/>
    <w:rsid w:val="000B75DF"/>
    <w:rsid w:val="000B76DC"/>
    <w:rsid w:val="000B7C87"/>
    <w:rsid w:val="000B7D1A"/>
    <w:rsid w:val="000B7FAA"/>
    <w:rsid w:val="000C06E8"/>
    <w:rsid w:val="000C2C41"/>
    <w:rsid w:val="000C37D6"/>
    <w:rsid w:val="000C38C3"/>
    <w:rsid w:val="000C3AD7"/>
    <w:rsid w:val="000C4407"/>
    <w:rsid w:val="000C445A"/>
    <w:rsid w:val="000C4FB1"/>
    <w:rsid w:val="000C536D"/>
    <w:rsid w:val="000C5625"/>
    <w:rsid w:val="000C5E3D"/>
    <w:rsid w:val="000C68FD"/>
    <w:rsid w:val="000C6D12"/>
    <w:rsid w:val="000D00C5"/>
    <w:rsid w:val="000D0852"/>
    <w:rsid w:val="000D0A22"/>
    <w:rsid w:val="000D0BEC"/>
    <w:rsid w:val="000D1038"/>
    <w:rsid w:val="000D11C9"/>
    <w:rsid w:val="000D2604"/>
    <w:rsid w:val="000D2DD2"/>
    <w:rsid w:val="000D3A2A"/>
    <w:rsid w:val="000D3E9D"/>
    <w:rsid w:val="000D428A"/>
    <w:rsid w:val="000D4550"/>
    <w:rsid w:val="000D4CD3"/>
    <w:rsid w:val="000D4E79"/>
    <w:rsid w:val="000D5196"/>
    <w:rsid w:val="000D6C71"/>
    <w:rsid w:val="000D6E06"/>
    <w:rsid w:val="000D7EF3"/>
    <w:rsid w:val="000E077A"/>
    <w:rsid w:val="000E2487"/>
    <w:rsid w:val="000E2CD7"/>
    <w:rsid w:val="000E4918"/>
    <w:rsid w:val="000E61B7"/>
    <w:rsid w:val="000E66A2"/>
    <w:rsid w:val="000E751C"/>
    <w:rsid w:val="000E7DEF"/>
    <w:rsid w:val="000F0452"/>
    <w:rsid w:val="000F1B37"/>
    <w:rsid w:val="000F2A94"/>
    <w:rsid w:val="000F2D77"/>
    <w:rsid w:val="000F37EE"/>
    <w:rsid w:val="000F3CA9"/>
    <w:rsid w:val="000F3FBC"/>
    <w:rsid w:val="000F417B"/>
    <w:rsid w:val="000F5400"/>
    <w:rsid w:val="000F6057"/>
    <w:rsid w:val="000F751E"/>
    <w:rsid w:val="000F7661"/>
    <w:rsid w:val="000F7CD8"/>
    <w:rsid w:val="001000DD"/>
    <w:rsid w:val="00100860"/>
    <w:rsid w:val="00100BA3"/>
    <w:rsid w:val="00101F39"/>
    <w:rsid w:val="001038F9"/>
    <w:rsid w:val="00103A31"/>
    <w:rsid w:val="0010431A"/>
    <w:rsid w:val="00105B68"/>
    <w:rsid w:val="0010618C"/>
    <w:rsid w:val="00107725"/>
    <w:rsid w:val="00107F91"/>
    <w:rsid w:val="00110466"/>
    <w:rsid w:val="00111549"/>
    <w:rsid w:val="00111B88"/>
    <w:rsid w:val="00113167"/>
    <w:rsid w:val="001132FA"/>
    <w:rsid w:val="00115483"/>
    <w:rsid w:val="00115DAA"/>
    <w:rsid w:val="00117244"/>
    <w:rsid w:val="001176CA"/>
    <w:rsid w:val="00117921"/>
    <w:rsid w:val="00117FCC"/>
    <w:rsid w:val="0012096F"/>
    <w:rsid w:val="001214BA"/>
    <w:rsid w:val="00121949"/>
    <w:rsid w:val="00122C81"/>
    <w:rsid w:val="0012351B"/>
    <w:rsid w:val="001235A7"/>
    <w:rsid w:val="00123FEF"/>
    <w:rsid w:val="001244AB"/>
    <w:rsid w:val="0012645F"/>
    <w:rsid w:val="00126A64"/>
    <w:rsid w:val="00126D80"/>
    <w:rsid w:val="00127CE2"/>
    <w:rsid w:val="00127D58"/>
    <w:rsid w:val="00131104"/>
    <w:rsid w:val="00132DB9"/>
    <w:rsid w:val="00132DC8"/>
    <w:rsid w:val="00132F60"/>
    <w:rsid w:val="00133279"/>
    <w:rsid w:val="00133374"/>
    <w:rsid w:val="00136814"/>
    <w:rsid w:val="00136C01"/>
    <w:rsid w:val="00143276"/>
    <w:rsid w:val="0014424F"/>
    <w:rsid w:val="00144288"/>
    <w:rsid w:val="00145AD5"/>
    <w:rsid w:val="001474AB"/>
    <w:rsid w:val="00147558"/>
    <w:rsid w:val="001478D0"/>
    <w:rsid w:val="00151E0C"/>
    <w:rsid w:val="0015559C"/>
    <w:rsid w:val="00156B2E"/>
    <w:rsid w:val="001576EE"/>
    <w:rsid w:val="001608C6"/>
    <w:rsid w:val="001618C3"/>
    <w:rsid w:val="00163015"/>
    <w:rsid w:val="0016328C"/>
    <w:rsid w:val="0016403A"/>
    <w:rsid w:val="00164E04"/>
    <w:rsid w:val="00165765"/>
    <w:rsid w:val="001667FF"/>
    <w:rsid w:val="00166FAD"/>
    <w:rsid w:val="001726EA"/>
    <w:rsid w:val="00173993"/>
    <w:rsid w:val="00174432"/>
    <w:rsid w:val="001770A9"/>
    <w:rsid w:val="0018012E"/>
    <w:rsid w:val="00182E27"/>
    <w:rsid w:val="0018324C"/>
    <w:rsid w:val="001844F7"/>
    <w:rsid w:val="00185810"/>
    <w:rsid w:val="00185B5B"/>
    <w:rsid w:val="00185E9A"/>
    <w:rsid w:val="00186E21"/>
    <w:rsid w:val="00187647"/>
    <w:rsid w:val="00192418"/>
    <w:rsid w:val="0019327B"/>
    <w:rsid w:val="00193C7B"/>
    <w:rsid w:val="001943AC"/>
    <w:rsid w:val="00194AA8"/>
    <w:rsid w:val="00194E22"/>
    <w:rsid w:val="00194EC2"/>
    <w:rsid w:val="00195EBD"/>
    <w:rsid w:val="00196757"/>
    <w:rsid w:val="0019765C"/>
    <w:rsid w:val="001A111D"/>
    <w:rsid w:val="001A1DB3"/>
    <w:rsid w:val="001A3310"/>
    <w:rsid w:val="001A39F0"/>
    <w:rsid w:val="001A5CCF"/>
    <w:rsid w:val="001A5CE3"/>
    <w:rsid w:val="001A63CF"/>
    <w:rsid w:val="001A6786"/>
    <w:rsid w:val="001A687F"/>
    <w:rsid w:val="001A6B04"/>
    <w:rsid w:val="001A6B68"/>
    <w:rsid w:val="001B0798"/>
    <w:rsid w:val="001B0BC1"/>
    <w:rsid w:val="001B1C1F"/>
    <w:rsid w:val="001B2BF8"/>
    <w:rsid w:val="001B4194"/>
    <w:rsid w:val="001B4753"/>
    <w:rsid w:val="001B57E1"/>
    <w:rsid w:val="001B6151"/>
    <w:rsid w:val="001C0E2C"/>
    <w:rsid w:val="001C0F44"/>
    <w:rsid w:val="001C0F9A"/>
    <w:rsid w:val="001C3039"/>
    <w:rsid w:val="001C3DC6"/>
    <w:rsid w:val="001C58B7"/>
    <w:rsid w:val="001C62ED"/>
    <w:rsid w:val="001C6712"/>
    <w:rsid w:val="001C69D9"/>
    <w:rsid w:val="001C75B8"/>
    <w:rsid w:val="001C7EA2"/>
    <w:rsid w:val="001D0ED8"/>
    <w:rsid w:val="001D252B"/>
    <w:rsid w:val="001D4490"/>
    <w:rsid w:val="001D4658"/>
    <w:rsid w:val="001D4A42"/>
    <w:rsid w:val="001D5680"/>
    <w:rsid w:val="001D5D75"/>
    <w:rsid w:val="001D61EA"/>
    <w:rsid w:val="001D640A"/>
    <w:rsid w:val="001D7290"/>
    <w:rsid w:val="001D7B3D"/>
    <w:rsid w:val="001D7D52"/>
    <w:rsid w:val="001E04F9"/>
    <w:rsid w:val="001E1934"/>
    <w:rsid w:val="001E1C71"/>
    <w:rsid w:val="001E2D8C"/>
    <w:rsid w:val="001E2D8D"/>
    <w:rsid w:val="001E4537"/>
    <w:rsid w:val="001E4EAB"/>
    <w:rsid w:val="001E67B3"/>
    <w:rsid w:val="001E7CC8"/>
    <w:rsid w:val="001F08D4"/>
    <w:rsid w:val="001F0E72"/>
    <w:rsid w:val="001F17A3"/>
    <w:rsid w:val="001F181B"/>
    <w:rsid w:val="001F254C"/>
    <w:rsid w:val="001F3783"/>
    <w:rsid w:val="001F42D0"/>
    <w:rsid w:val="001F47B7"/>
    <w:rsid w:val="001F4802"/>
    <w:rsid w:val="001F49D0"/>
    <w:rsid w:val="001F505A"/>
    <w:rsid w:val="001F582E"/>
    <w:rsid w:val="001F5B20"/>
    <w:rsid w:val="001F6A5E"/>
    <w:rsid w:val="001F6D42"/>
    <w:rsid w:val="001F7ACE"/>
    <w:rsid w:val="001F7BBF"/>
    <w:rsid w:val="00200E5E"/>
    <w:rsid w:val="002020F0"/>
    <w:rsid w:val="002021D2"/>
    <w:rsid w:val="00203B2A"/>
    <w:rsid w:val="002048DD"/>
    <w:rsid w:val="00204E15"/>
    <w:rsid w:val="00205799"/>
    <w:rsid w:val="00205895"/>
    <w:rsid w:val="00205F49"/>
    <w:rsid w:val="00206F7E"/>
    <w:rsid w:val="00207420"/>
    <w:rsid w:val="00207611"/>
    <w:rsid w:val="00210BE7"/>
    <w:rsid w:val="00211E1C"/>
    <w:rsid w:val="00212098"/>
    <w:rsid w:val="00214DF1"/>
    <w:rsid w:val="00215070"/>
    <w:rsid w:val="00215391"/>
    <w:rsid w:val="002155E9"/>
    <w:rsid w:val="002157DF"/>
    <w:rsid w:val="00215D8E"/>
    <w:rsid w:val="00216155"/>
    <w:rsid w:val="0021619A"/>
    <w:rsid w:val="00216CEA"/>
    <w:rsid w:val="00220502"/>
    <w:rsid w:val="00220C11"/>
    <w:rsid w:val="002226E3"/>
    <w:rsid w:val="00222BB7"/>
    <w:rsid w:val="00223DBB"/>
    <w:rsid w:val="00224151"/>
    <w:rsid w:val="0022464A"/>
    <w:rsid w:val="0022490E"/>
    <w:rsid w:val="00225673"/>
    <w:rsid w:val="00225A4C"/>
    <w:rsid w:val="00225CEB"/>
    <w:rsid w:val="0022680B"/>
    <w:rsid w:val="00227334"/>
    <w:rsid w:val="00227A5A"/>
    <w:rsid w:val="002312F3"/>
    <w:rsid w:val="00231C3E"/>
    <w:rsid w:val="00232808"/>
    <w:rsid w:val="00233057"/>
    <w:rsid w:val="002334E1"/>
    <w:rsid w:val="00233622"/>
    <w:rsid w:val="00233D8E"/>
    <w:rsid w:val="00234AD5"/>
    <w:rsid w:val="00234DFC"/>
    <w:rsid w:val="002350FD"/>
    <w:rsid w:val="00235F52"/>
    <w:rsid w:val="002372BA"/>
    <w:rsid w:val="00237FFA"/>
    <w:rsid w:val="00241563"/>
    <w:rsid w:val="00241C3B"/>
    <w:rsid w:val="00242418"/>
    <w:rsid w:val="00243A8D"/>
    <w:rsid w:val="00244B19"/>
    <w:rsid w:val="00245667"/>
    <w:rsid w:val="00245FFB"/>
    <w:rsid w:val="0024704C"/>
    <w:rsid w:val="002501B4"/>
    <w:rsid w:val="002505E6"/>
    <w:rsid w:val="00252E9F"/>
    <w:rsid w:val="0025323F"/>
    <w:rsid w:val="00253612"/>
    <w:rsid w:val="00253928"/>
    <w:rsid w:val="002541B0"/>
    <w:rsid w:val="00257111"/>
    <w:rsid w:val="002614BF"/>
    <w:rsid w:val="002626B2"/>
    <w:rsid w:val="0026430D"/>
    <w:rsid w:val="00264A86"/>
    <w:rsid w:val="002657D3"/>
    <w:rsid w:val="002668A2"/>
    <w:rsid w:val="002673AD"/>
    <w:rsid w:val="00267707"/>
    <w:rsid w:val="002677F6"/>
    <w:rsid w:val="00267E85"/>
    <w:rsid w:val="00271EF8"/>
    <w:rsid w:val="002722B6"/>
    <w:rsid w:val="00272C28"/>
    <w:rsid w:val="00273BDD"/>
    <w:rsid w:val="00274B1A"/>
    <w:rsid w:val="00275284"/>
    <w:rsid w:val="00276375"/>
    <w:rsid w:val="002764FA"/>
    <w:rsid w:val="0028001A"/>
    <w:rsid w:val="00281577"/>
    <w:rsid w:val="002819F2"/>
    <w:rsid w:val="00281FD6"/>
    <w:rsid w:val="002829B1"/>
    <w:rsid w:val="002835B2"/>
    <w:rsid w:val="0028527F"/>
    <w:rsid w:val="00285705"/>
    <w:rsid w:val="00286327"/>
    <w:rsid w:val="002866C5"/>
    <w:rsid w:val="00287B8B"/>
    <w:rsid w:val="00291840"/>
    <w:rsid w:val="002927D0"/>
    <w:rsid w:val="002952E1"/>
    <w:rsid w:val="00295751"/>
    <w:rsid w:val="00296DDA"/>
    <w:rsid w:val="00297550"/>
    <w:rsid w:val="002A0102"/>
    <w:rsid w:val="002A247C"/>
    <w:rsid w:val="002A25A0"/>
    <w:rsid w:val="002A2780"/>
    <w:rsid w:val="002A2CB4"/>
    <w:rsid w:val="002A458D"/>
    <w:rsid w:val="002A5483"/>
    <w:rsid w:val="002A6479"/>
    <w:rsid w:val="002B437E"/>
    <w:rsid w:val="002B6C18"/>
    <w:rsid w:val="002B760A"/>
    <w:rsid w:val="002C0533"/>
    <w:rsid w:val="002C164D"/>
    <w:rsid w:val="002C24FB"/>
    <w:rsid w:val="002C2B1D"/>
    <w:rsid w:val="002C3C8D"/>
    <w:rsid w:val="002C4758"/>
    <w:rsid w:val="002C53C8"/>
    <w:rsid w:val="002C6CBE"/>
    <w:rsid w:val="002C7481"/>
    <w:rsid w:val="002D0533"/>
    <w:rsid w:val="002D0D76"/>
    <w:rsid w:val="002D1358"/>
    <w:rsid w:val="002D153F"/>
    <w:rsid w:val="002D1C09"/>
    <w:rsid w:val="002D2BBA"/>
    <w:rsid w:val="002D4CD9"/>
    <w:rsid w:val="002D6003"/>
    <w:rsid w:val="002E0333"/>
    <w:rsid w:val="002E0BEA"/>
    <w:rsid w:val="002E1E69"/>
    <w:rsid w:val="002E41E8"/>
    <w:rsid w:val="002E5E51"/>
    <w:rsid w:val="002E6C03"/>
    <w:rsid w:val="002E72DE"/>
    <w:rsid w:val="002E7BB5"/>
    <w:rsid w:val="002E7FF4"/>
    <w:rsid w:val="002F1FD4"/>
    <w:rsid w:val="002F3C7E"/>
    <w:rsid w:val="002F4F4B"/>
    <w:rsid w:val="002F5EF0"/>
    <w:rsid w:val="002F6EDE"/>
    <w:rsid w:val="002F720C"/>
    <w:rsid w:val="002F7C8F"/>
    <w:rsid w:val="00300167"/>
    <w:rsid w:val="00300CA1"/>
    <w:rsid w:val="003011E8"/>
    <w:rsid w:val="00302696"/>
    <w:rsid w:val="00302DA6"/>
    <w:rsid w:val="003040CE"/>
    <w:rsid w:val="0030420E"/>
    <w:rsid w:val="00306388"/>
    <w:rsid w:val="0030672B"/>
    <w:rsid w:val="0030742C"/>
    <w:rsid w:val="00310B00"/>
    <w:rsid w:val="00310CA8"/>
    <w:rsid w:val="0031146E"/>
    <w:rsid w:val="00311B70"/>
    <w:rsid w:val="00311EDD"/>
    <w:rsid w:val="00312A33"/>
    <w:rsid w:val="00313678"/>
    <w:rsid w:val="00315455"/>
    <w:rsid w:val="0031552A"/>
    <w:rsid w:val="00317B97"/>
    <w:rsid w:val="003208E7"/>
    <w:rsid w:val="00320D9C"/>
    <w:rsid w:val="00321F20"/>
    <w:rsid w:val="003226F2"/>
    <w:rsid w:val="00322B1B"/>
    <w:rsid w:val="00323EF3"/>
    <w:rsid w:val="00325C65"/>
    <w:rsid w:val="0032647B"/>
    <w:rsid w:val="003264E4"/>
    <w:rsid w:val="00330519"/>
    <w:rsid w:val="003312C8"/>
    <w:rsid w:val="003318F9"/>
    <w:rsid w:val="00331BF1"/>
    <w:rsid w:val="003322CA"/>
    <w:rsid w:val="00332F64"/>
    <w:rsid w:val="0033338D"/>
    <w:rsid w:val="003337E6"/>
    <w:rsid w:val="0033510A"/>
    <w:rsid w:val="00335983"/>
    <w:rsid w:val="00335EFC"/>
    <w:rsid w:val="00336573"/>
    <w:rsid w:val="003379E1"/>
    <w:rsid w:val="003404F8"/>
    <w:rsid w:val="00342115"/>
    <w:rsid w:val="00343250"/>
    <w:rsid w:val="00343A18"/>
    <w:rsid w:val="00343C8C"/>
    <w:rsid w:val="00344256"/>
    <w:rsid w:val="003443A9"/>
    <w:rsid w:val="00344F54"/>
    <w:rsid w:val="00344FEA"/>
    <w:rsid w:val="00346632"/>
    <w:rsid w:val="00346E38"/>
    <w:rsid w:val="00347745"/>
    <w:rsid w:val="00347CCC"/>
    <w:rsid w:val="00351467"/>
    <w:rsid w:val="00351C2C"/>
    <w:rsid w:val="00352968"/>
    <w:rsid w:val="00353533"/>
    <w:rsid w:val="00353916"/>
    <w:rsid w:val="00355BD4"/>
    <w:rsid w:val="00356A0E"/>
    <w:rsid w:val="00361EA7"/>
    <w:rsid w:val="00361F0C"/>
    <w:rsid w:val="0036585F"/>
    <w:rsid w:val="00365D88"/>
    <w:rsid w:val="00367B55"/>
    <w:rsid w:val="0037040B"/>
    <w:rsid w:val="0037147F"/>
    <w:rsid w:val="0037179A"/>
    <w:rsid w:val="00371C70"/>
    <w:rsid w:val="003737A9"/>
    <w:rsid w:val="003748EE"/>
    <w:rsid w:val="00380733"/>
    <w:rsid w:val="00382414"/>
    <w:rsid w:val="00382569"/>
    <w:rsid w:val="00382C82"/>
    <w:rsid w:val="003855C1"/>
    <w:rsid w:val="003863F4"/>
    <w:rsid w:val="00386724"/>
    <w:rsid w:val="00387CA3"/>
    <w:rsid w:val="00390254"/>
    <w:rsid w:val="00390C73"/>
    <w:rsid w:val="00390EE4"/>
    <w:rsid w:val="003915B3"/>
    <w:rsid w:val="00391940"/>
    <w:rsid w:val="00391E57"/>
    <w:rsid w:val="00392C0D"/>
    <w:rsid w:val="00393440"/>
    <w:rsid w:val="00393E3F"/>
    <w:rsid w:val="0039414F"/>
    <w:rsid w:val="00394714"/>
    <w:rsid w:val="00394C57"/>
    <w:rsid w:val="003964CA"/>
    <w:rsid w:val="00396C2C"/>
    <w:rsid w:val="0039729F"/>
    <w:rsid w:val="003A0741"/>
    <w:rsid w:val="003A08C2"/>
    <w:rsid w:val="003A0AB0"/>
    <w:rsid w:val="003A1015"/>
    <w:rsid w:val="003A17D2"/>
    <w:rsid w:val="003A18E7"/>
    <w:rsid w:val="003A2D7C"/>
    <w:rsid w:val="003A334E"/>
    <w:rsid w:val="003A4E50"/>
    <w:rsid w:val="003A51A2"/>
    <w:rsid w:val="003A6A29"/>
    <w:rsid w:val="003A7017"/>
    <w:rsid w:val="003A7146"/>
    <w:rsid w:val="003A7724"/>
    <w:rsid w:val="003A7BD1"/>
    <w:rsid w:val="003B121E"/>
    <w:rsid w:val="003B1656"/>
    <w:rsid w:val="003B24DA"/>
    <w:rsid w:val="003B27FE"/>
    <w:rsid w:val="003B30B5"/>
    <w:rsid w:val="003B30D2"/>
    <w:rsid w:val="003B31FD"/>
    <w:rsid w:val="003B443F"/>
    <w:rsid w:val="003B689C"/>
    <w:rsid w:val="003B7021"/>
    <w:rsid w:val="003B7595"/>
    <w:rsid w:val="003B7AD4"/>
    <w:rsid w:val="003C11BF"/>
    <w:rsid w:val="003C1B10"/>
    <w:rsid w:val="003C2DBC"/>
    <w:rsid w:val="003C2E3A"/>
    <w:rsid w:val="003C2FDA"/>
    <w:rsid w:val="003C4BC9"/>
    <w:rsid w:val="003C7B56"/>
    <w:rsid w:val="003D007C"/>
    <w:rsid w:val="003D009B"/>
    <w:rsid w:val="003D0DB8"/>
    <w:rsid w:val="003D2EF0"/>
    <w:rsid w:val="003D391C"/>
    <w:rsid w:val="003D487A"/>
    <w:rsid w:val="003D4963"/>
    <w:rsid w:val="003D584F"/>
    <w:rsid w:val="003D6234"/>
    <w:rsid w:val="003D66D2"/>
    <w:rsid w:val="003D6A05"/>
    <w:rsid w:val="003D6E05"/>
    <w:rsid w:val="003D7195"/>
    <w:rsid w:val="003D7369"/>
    <w:rsid w:val="003D7A97"/>
    <w:rsid w:val="003D7B7A"/>
    <w:rsid w:val="003E099B"/>
    <w:rsid w:val="003E15F0"/>
    <w:rsid w:val="003E2EFF"/>
    <w:rsid w:val="003E2FFB"/>
    <w:rsid w:val="003E3754"/>
    <w:rsid w:val="003E3FF1"/>
    <w:rsid w:val="003E45C9"/>
    <w:rsid w:val="003E541A"/>
    <w:rsid w:val="003E6C4E"/>
    <w:rsid w:val="003E76B3"/>
    <w:rsid w:val="003F04D9"/>
    <w:rsid w:val="003F1246"/>
    <w:rsid w:val="003F1DBE"/>
    <w:rsid w:val="003F2A25"/>
    <w:rsid w:val="003F38C9"/>
    <w:rsid w:val="003F3DB6"/>
    <w:rsid w:val="003F4FF8"/>
    <w:rsid w:val="003F6B8F"/>
    <w:rsid w:val="003F73D8"/>
    <w:rsid w:val="00402658"/>
    <w:rsid w:val="0040290A"/>
    <w:rsid w:val="00404D83"/>
    <w:rsid w:val="0040598E"/>
    <w:rsid w:val="00406137"/>
    <w:rsid w:val="00406BF9"/>
    <w:rsid w:val="0041000D"/>
    <w:rsid w:val="00410B73"/>
    <w:rsid w:val="004115C5"/>
    <w:rsid w:val="00411BDB"/>
    <w:rsid w:val="004128F4"/>
    <w:rsid w:val="0041654F"/>
    <w:rsid w:val="00420843"/>
    <w:rsid w:val="00421B96"/>
    <w:rsid w:val="004229F9"/>
    <w:rsid w:val="00423AD1"/>
    <w:rsid w:val="0042405B"/>
    <w:rsid w:val="0042478C"/>
    <w:rsid w:val="00424BA6"/>
    <w:rsid w:val="004257CD"/>
    <w:rsid w:val="00425A87"/>
    <w:rsid w:val="004261F6"/>
    <w:rsid w:val="00426E49"/>
    <w:rsid w:val="00427C6C"/>
    <w:rsid w:val="00433759"/>
    <w:rsid w:val="00434ADD"/>
    <w:rsid w:val="004358D0"/>
    <w:rsid w:val="00435AC1"/>
    <w:rsid w:val="00435F8D"/>
    <w:rsid w:val="0043699A"/>
    <w:rsid w:val="00437EC7"/>
    <w:rsid w:val="0044075E"/>
    <w:rsid w:val="00444A39"/>
    <w:rsid w:val="00444B61"/>
    <w:rsid w:val="00444CE2"/>
    <w:rsid w:val="00445EEF"/>
    <w:rsid w:val="00446272"/>
    <w:rsid w:val="004467A7"/>
    <w:rsid w:val="004478AB"/>
    <w:rsid w:val="0045036C"/>
    <w:rsid w:val="00450E48"/>
    <w:rsid w:val="004528AB"/>
    <w:rsid w:val="00454CAB"/>
    <w:rsid w:val="0045660E"/>
    <w:rsid w:val="00456C72"/>
    <w:rsid w:val="00461C93"/>
    <w:rsid w:val="00461FF7"/>
    <w:rsid w:val="00464AB3"/>
    <w:rsid w:val="00466E26"/>
    <w:rsid w:val="00470592"/>
    <w:rsid w:val="004706DA"/>
    <w:rsid w:val="00470DD5"/>
    <w:rsid w:val="0047106C"/>
    <w:rsid w:val="00471CFB"/>
    <w:rsid w:val="004733CA"/>
    <w:rsid w:val="00473942"/>
    <w:rsid w:val="004740EF"/>
    <w:rsid w:val="00474585"/>
    <w:rsid w:val="00475926"/>
    <w:rsid w:val="00476DD5"/>
    <w:rsid w:val="004775F3"/>
    <w:rsid w:val="00480F78"/>
    <w:rsid w:val="004827D0"/>
    <w:rsid w:val="00483019"/>
    <w:rsid w:val="00483266"/>
    <w:rsid w:val="00483D72"/>
    <w:rsid w:val="00485193"/>
    <w:rsid w:val="004862F2"/>
    <w:rsid w:val="00490BE6"/>
    <w:rsid w:val="00491D7F"/>
    <w:rsid w:val="00492ABF"/>
    <w:rsid w:val="00492D11"/>
    <w:rsid w:val="00493897"/>
    <w:rsid w:val="0049410B"/>
    <w:rsid w:val="0049460A"/>
    <w:rsid w:val="00494C72"/>
    <w:rsid w:val="00496397"/>
    <w:rsid w:val="00496D2D"/>
    <w:rsid w:val="00497107"/>
    <w:rsid w:val="00497659"/>
    <w:rsid w:val="00497F54"/>
    <w:rsid w:val="004A01A5"/>
    <w:rsid w:val="004A1895"/>
    <w:rsid w:val="004A1D6E"/>
    <w:rsid w:val="004A2C46"/>
    <w:rsid w:val="004A486A"/>
    <w:rsid w:val="004A5C17"/>
    <w:rsid w:val="004A64BC"/>
    <w:rsid w:val="004B283D"/>
    <w:rsid w:val="004B2C34"/>
    <w:rsid w:val="004B5195"/>
    <w:rsid w:val="004B7568"/>
    <w:rsid w:val="004B7746"/>
    <w:rsid w:val="004B78D3"/>
    <w:rsid w:val="004B7DF0"/>
    <w:rsid w:val="004C10B1"/>
    <w:rsid w:val="004C2FCD"/>
    <w:rsid w:val="004C3031"/>
    <w:rsid w:val="004C35F6"/>
    <w:rsid w:val="004C3957"/>
    <w:rsid w:val="004C3C43"/>
    <w:rsid w:val="004C54A1"/>
    <w:rsid w:val="004C59B1"/>
    <w:rsid w:val="004C6CDC"/>
    <w:rsid w:val="004C7195"/>
    <w:rsid w:val="004D0069"/>
    <w:rsid w:val="004D07D7"/>
    <w:rsid w:val="004D1B6E"/>
    <w:rsid w:val="004D229C"/>
    <w:rsid w:val="004D37E0"/>
    <w:rsid w:val="004D3DB9"/>
    <w:rsid w:val="004D4266"/>
    <w:rsid w:val="004D458B"/>
    <w:rsid w:val="004D49D5"/>
    <w:rsid w:val="004D5D0E"/>
    <w:rsid w:val="004D702F"/>
    <w:rsid w:val="004D779A"/>
    <w:rsid w:val="004E08AF"/>
    <w:rsid w:val="004E30B8"/>
    <w:rsid w:val="004E33D8"/>
    <w:rsid w:val="004E387E"/>
    <w:rsid w:val="004E4D75"/>
    <w:rsid w:val="004E60D0"/>
    <w:rsid w:val="004E7142"/>
    <w:rsid w:val="004E7D93"/>
    <w:rsid w:val="004F074A"/>
    <w:rsid w:val="004F3EF4"/>
    <w:rsid w:val="004F403F"/>
    <w:rsid w:val="004F4C45"/>
    <w:rsid w:val="004F4D04"/>
    <w:rsid w:val="004F57F8"/>
    <w:rsid w:val="004F65BE"/>
    <w:rsid w:val="00500023"/>
    <w:rsid w:val="00501345"/>
    <w:rsid w:val="00501805"/>
    <w:rsid w:val="00502080"/>
    <w:rsid w:val="005023E0"/>
    <w:rsid w:val="00502E10"/>
    <w:rsid w:val="00503ADA"/>
    <w:rsid w:val="00503D95"/>
    <w:rsid w:val="005042F2"/>
    <w:rsid w:val="00504F30"/>
    <w:rsid w:val="00506E04"/>
    <w:rsid w:val="0050756C"/>
    <w:rsid w:val="00507E3C"/>
    <w:rsid w:val="005107F0"/>
    <w:rsid w:val="00510D31"/>
    <w:rsid w:val="005118DE"/>
    <w:rsid w:val="00511E29"/>
    <w:rsid w:val="00512033"/>
    <w:rsid w:val="00513BAF"/>
    <w:rsid w:val="00513DE6"/>
    <w:rsid w:val="005147D7"/>
    <w:rsid w:val="0051658B"/>
    <w:rsid w:val="005208AB"/>
    <w:rsid w:val="00520A44"/>
    <w:rsid w:val="00520DE0"/>
    <w:rsid w:val="00523ACA"/>
    <w:rsid w:val="00525238"/>
    <w:rsid w:val="0052747C"/>
    <w:rsid w:val="00531025"/>
    <w:rsid w:val="005310C9"/>
    <w:rsid w:val="0053300E"/>
    <w:rsid w:val="00533393"/>
    <w:rsid w:val="00535748"/>
    <w:rsid w:val="00535E9C"/>
    <w:rsid w:val="00536308"/>
    <w:rsid w:val="005373A7"/>
    <w:rsid w:val="00537C10"/>
    <w:rsid w:val="00540502"/>
    <w:rsid w:val="0054076E"/>
    <w:rsid w:val="005408E4"/>
    <w:rsid w:val="00540DEC"/>
    <w:rsid w:val="0054225C"/>
    <w:rsid w:val="00542360"/>
    <w:rsid w:val="00542906"/>
    <w:rsid w:val="00542A15"/>
    <w:rsid w:val="00543389"/>
    <w:rsid w:val="005436B3"/>
    <w:rsid w:val="005462C6"/>
    <w:rsid w:val="0054637E"/>
    <w:rsid w:val="005477A7"/>
    <w:rsid w:val="00547E14"/>
    <w:rsid w:val="0055040F"/>
    <w:rsid w:val="0055099E"/>
    <w:rsid w:val="00552F74"/>
    <w:rsid w:val="00552FA3"/>
    <w:rsid w:val="00553010"/>
    <w:rsid w:val="0056335C"/>
    <w:rsid w:val="00563FDA"/>
    <w:rsid w:val="00564426"/>
    <w:rsid w:val="00564A66"/>
    <w:rsid w:val="005651F5"/>
    <w:rsid w:val="00566B4C"/>
    <w:rsid w:val="00567103"/>
    <w:rsid w:val="0057009E"/>
    <w:rsid w:val="005714B5"/>
    <w:rsid w:val="005759F7"/>
    <w:rsid w:val="00576706"/>
    <w:rsid w:val="00576731"/>
    <w:rsid w:val="005768BF"/>
    <w:rsid w:val="00580601"/>
    <w:rsid w:val="0058130A"/>
    <w:rsid w:val="00584C37"/>
    <w:rsid w:val="005851D7"/>
    <w:rsid w:val="00585803"/>
    <w:rsid w:val="00585BC5"/>
    <w:rsid w:val="00586796"/>
    <w:rsid w:val="005904A2"/>
    <w:rsid w:val="00590CB3"/>
    <w:rsid w:val="00591783"/>
    <w:rsid w:val="0059227D"/>
    <w:rsid w:val="005923D1"/>
    <w:rsid w:val="00593B7A"/>
    <w:rsid w:val="00594487"/>
    <w:rsid w:val="005946A1"/>
    <w:rsid w:val="00594A34"/>
    <w:rsid w:val="005954ED"/>
    <w:rsid w:val="00597466"/>
    <w:rsid w:val="00597536"/>
    <w:rsid w:val="005A00E6"/>
    <w:rsid w:val="005A0D00"/>
    <w:rsid w:val="005A4857"/>
    <w:rsid w:val="005A67B9"/>
    <w:rsid w:val="005B1696"/>
    <w:rsid w:val="005B1CB2"/>
    <w:rsid w:val="005B486D"/>
    <w:rsid w:val="005B64BA"/>
    <w:rsid w:val="005B77A3"/>
    <w:rsid w:val="005C0114"/>
    <w:rsid w:val="005C1A53"/>
    <w:rsid w:val="005C1E0E"/>
    <w:rsid w:val="005C2749"/>
    <w:rsid w:val="005C327C"/>
    <w:rsid w:val="005C3D0C"/>
    <w:rsid w:val="005C41D0"/>
    <w:rsid w:val="005C53F5"/>
    <w:rsid w:val="005C7172"/>
    <w:rsid w:val="005C7905"/>
    <w:rsid w:val="005C7BE0"/>
    <w:rsid w:val="005D044F"/>
    <w:rsid w:val="005D1ED1"/>
    <w:rsid w:val="005D23A9"/>
    <w:rsid w:val="005D3962"/>
    <w:rsid w:val="005D3A04"/>
    <w:rsid w:val="005D4EFA"/>
    <w:rsid w:val="005D5796"/>
    <w:rsid w:val="005D5966"/>
    <w:rsid w:val="005D7082"/>
    <w:rsid w:val="005D714E"/>
    <w:rsid w:val="005D779B"/>
    <w:rsid w:val="005D7931"/>
    <w:rsid w:val="005E1249"/>
    <w:rsid w:val="005E15CF"/>
    <w:rsid w:val="005E16F6"/>
    <w:rsid w:val="005E1F9D"/>
    <w:rsid w:val="005E2366"/>
    <w:rsid w:val="005E35AA"/>
    <w:rsid w:val="005E5822"/>
    <w:rsid w:val="005E6451"/>
    <w:rsid w:val="005E6649"/>
    <w:rsid w:val="005F02A0"/>
    <w:rsid w:val="005F0A84"/>
    <w:rsid w:val="005F0E97"/>
    <w:rsid w:val="005F1B99"/>
    <w:rsid w:val="005F26BB"/>
    <w:rsid w:val="005F2B5B"/>
    <w:rsid w:val="005F387E"/>
    <w:rsid w:val="005F3C63"/>
    <w:rsid w:val="005F47D0"/>
    <w:rsid w:val="005F6EE3"/>
    <w:rsid w:val="006002FA"/>
    <w:rsid w:val="006003FB"/>
    <w:rsid w:val="006005B7"/>
    <w:rsid w:val="0060060E"/>
    <w:rsid w:val="00601768"/>
    <w:rsid w:val="0060319D"/>
    <w:rsid w:val="00604845"/>
    <w:rsid w:val="006059DA"/>
    <w:rsid w:val="00605B01"/>
    <w:rsid w:val="0060650B"/>
    <w:rsid w:val="006158C5"/>
    <w:rsid w:val="0061668A"/>
    <w:rsid w:val="00617359"/>
    <w:rsid w:val="00617863"/>
    <w:rsid w:val="00617896"/>
    <w:rsid w:val="006220FA"/>
    <w:rsid w:val="0062224C"/>
    <w:rsid w:val="0062237B"/>
    <w:rsid w:val="00622B37"/>
    <w:rsid w:val="006231BF"/>
    <w:rsid w:val="006239F0"/>
    <w:rsid w:val="00624639"/>
    <w:rsid w:val="00624A72"/>
    <w:rsid w:val="006255AF"/>
    <w:rsid w:val="00626276"/>
    <w:rsid w:val="00626A21"/>
    <w:rsid w:val="006303C5"/>
    <w:rsid w:val="006308F5"/>
    <w:rsid w:val="00631E10"/>
    <w:rsid w:val="00633F10"/>
    <w:rsid w:val="00636354"/>
    <w:rsid w:val="00636390"/>
    <w:rsid w:val="0063659B"/>
    <w:rsid w:val="00637873"/>
    <w:rsid w:val="0064085D"/>
    <w:rsid w:val="00642174"/>
    <w:rsid w:val="00642CBE"/>
    <w:rsid w:val="006441EA"/>
    <w:rsid w:val="00645BA8"/>
    <w:rsid w:val="0064662F"/>
    <w:rsid w:val="00650A6B"/>
    <w:rsid w:val="0065165A"/>
    <w:rsid w:val="00651F82"/>
    <w:rsid w:val="0065224A"/>
    <w:rsid w:val="0065237E"/>
    <w:rsid w:val="006529FC"/>
    <w:rsid w:val="0065504F"/>
    <w:rsid w:val="00655C7C"/>
    <w:rsid w:val="00657009"/>
    <w:rsid w:val="00660270"/>
    <w:rsid w:val="00660BEB"/>
    <w:rsid w:val="00661136"/>
    <w:rsid w:val="0066120D"/>
    <w:rsid w:val="006612DA"/>
    <w:rsid w:val="00661CDD"/>
    <w:rsid w:val="00662BAA"/>
    <w:rsid w:val="00663380"/>
    <w:rsid w:val="00665927"/>
    <w:rsid w:val="00667A02"/>
    <w:rsid w:val="00667CED"/>
    <w:rsid w:val="0067057E"/>
    <w:rsid w:val="00670CB5"/>
    <w:rsid w:val="00670D55"/>
    <w:rsid w:val="00671FC7"/>
    <w:rsid w:val="006722B5"/>
    <w:rsid w:val="0067241A"/>
    <w:rsid w:val="00673F1E"/>
    <w:rsid w:val="00675545"/>
    <w:rsid w:val="006762FC"/>
    <w:rsid w:val="00676EA6"/>
    <w:rsid w:val="00681926"/>
    <w:rsid w:val="006819B8"/>
    <w:rsid w:val="0068228B"/>
    <w:rsid w:val="006835E8"/>
    <w:rsid w:val="0068385B"/>
    <w:rsid w:val="006839FF"/>
    <w:rsid w:val="0068454A"/>
    <w:rsid w:val="00684D66"/>
    <w:rsid w:val="00685AAA"/>
    <w:rsid w:val="006933B2"/>
    <w:rsid w:val="00693C6A"/>
    <w:rsid w:val="006946AF"/>
    <w:rsid w:val="006947D2"/>
    <w:rsid w:val="00694B45"/>
    <w:rsid w:val="00694EFA"/>
    <w:rsid w:val="0069535B"/>
    <w:rsid w:val="006967D1"/>
    <w:rsid w:val="00696FA1"/>
    <w:rsid w:val="006973DB"/>
    <w:rsid w:val="006976DD"/>
    <w:rsid w:val="006A0D32"/>
    <w:rsid w:val="006A0DFC"/>
    <w:rsid w:val="006A1787"/>
    <w:rsid w:val="006A1CEB"/>
    <w:rsid w:val="006A252E"/>
    <w:rsid w:val="006A289A"/>
    <w:rsid w:val="006A483B"/>
    <w:rsid w:val="006A4E34"/>
    <w:rsid w:val="006A6530"/>
    <w:rsid w:val="006A6A73"/>
    <w:rsid w:val="006A772F"/>
    <w:rsid w:val="006A7896"/>
    <w:rsid w:val="006B285E"/>
    <w:rsid w:val="006B3174"/>
    <w:rsid w:val="006B430C"/>
    <w:rsid w:val="006B4845"/>
    <w:rsid w:val="006B79B5"/>
    <w:rsid w:val="006C040B"/>
    <w:rsid w:val="006C13FE"/>
    <w:rsid w:val="006C1411"/>
    <w:rsid w:val="006C1892"/>
    <w:rsid w:val="006C1F03"/>
    <w:rsid w:val="006C261B"/>
    <w:rsid w:val="006C2996"/>
    <w:rsid w:val="006C36C5"/>
    <w:rsid w:val="006C56D8"/>
    <w:rsid w:val="006C6A0A"/>
    <w:rsid w:val="006D0412"/>
    <w:rsid w:val="006D09B5"/>
    <w:rsid w:val="006D0D60"/>
    <w:rsid w:val="006D111F"/>
    <w:rsid w:val="006D12C2"/>
    <w:rsid w:val="006D1349"/>
    <w:rsid w:val="006D1EE7"/>
    <w:rsid w:val="006D2F7D"/>
    <w:rsid w:val="006D3931"/>
    <w:rsid w:val="006D44EF"/>
    <w:rsid w:val="006D4B8D"/>
    <w:rsid w:val="006D5964"/>
    <w:rsid w:val="006D6BCF"/>
    <w:rsid w:val="006D7D7F"/>
    <w:rsid w:val="006E19A4"/>
    <w:rsid w:val="006E1BFB"/>
    <w:rsid w:val="006E1D7A"/>
    <w:rsid w:val="006E26CF"/>
    <w:rsid w:val="006E2F22"/>
    <w:rsid w:val="006E3B7A"/>
    <w:rsid w:val="006E4521"/>
    <w:rsid w:val="006E4C3D"/>
    <w:rsid w:val="006E58FE"/>
    <w:rsid w:val="006E707B"/>
    <w:rsid w:val="006E7142"/>
    <w:rsid w:val="006F3D98"/>
    <w:rsid w:val="006F4309"/>
    <w:rsid w:val="006F53F1"/>
    <w:rsid w:val="006F60CA"/>
    <w:rsid w:val="006F663F"/>
    <w:rsid w:val="006F68E2"/>
    <w:rsid w:val="006F6B1F"/>
    <w:rsid w:val="006F6BD6"/>
    <w:rsid w:val="007006A3"/>
    <w:rsid w:val="007019FB"/>
    <w:rsid w:val="00701B21"/>
    <w:rsid w:val="00702B1F"/>
    <w:rsid w:val="00702EE3"/>
    <w:rsid w:val="007030BE"/>
    <w:rsid w:val="00703B82"/>
    <w:rsid w:val="007048A7"/>
    <w:rsid w:val="00704DF1"/>
    <w:rsid w:val="007056D1"/>
    <w:rsid w:val="00705EDD"/>
    <w:rsid w:val="00707403"/>
    <w:rsid w:val="007102E3"/>
    <w:rsid w:val="00711A1F"/>
    <w:rsid w:val="00711D5A"/>
    <w:rsid w:val="00711F17"/>
    <w:rsid w:val="00712EE6"/>
    <w:rsid w:val="00714EF4"/>
    <w:rsid w:val="00715251"/>
    <w:rsid w:val="007161FA"/>
    <w:rsid w:val="0072179E"/>
    <w:rsid w:val="00722284"/>
    <w:rsid w:val="00723336"/>
    <w:rsid w:val="00723988"/>
    <w:rsid w:val="00724704"/>
    <w:rsid w:val="00727B42"/>
    <w:rsid w:val="00731460"/>
    <w:rsid w:val="0073204A"/>
    <w:rsid w:val="00732895"/>
    <w:rsid w:val="007336DA"/>
    <w:rsid w:val="00733B2E"/>
    <w:rsid w:val="00735692"/>
    <w:rsid w:val="007360D9"/>
    <w:rsid w:val="00736DAF"/>
    <w:rsid w:val="007377C3"/>
    <w:rsid w:val="00737E8B"/>
    <w:rsid w:val="0074040E"/>
    <w:rsid w:val="00742107"/>
    <w:rsid w:val="00742ABF"/>
    <w:rsid w:val="007432C2"/>
    <w:rsid w:val="0074334C"/>
    <w:rsid w:val="0074408F"/>
    <w:rsid w:val="00745E04"/>
    <w:rsid w:val="00745E86"/>
    <w:rsid w:val="0074603B"/>
    <w:rsid w:val="007465FA"/>
    <w:rsid w:val="00746813"/>
    <w:rsid w:val="00747DF1"/>
    <w:rsid w:val="007505DC"/>
    <w:rsid w:val="00750CF5"/>
    <w:rsid w:val="00751852"/>
    <w:rsid w:val="007522A5"/>
    <w:rsid w:val="007527AF"/>
    <w:rsid w:val="00752803"/>
    <w:rsid w:val="00754210"/>
    <w:rsid w:val="0075453A"/>
    <w:rsid w:val="00754CA6"/>
    <w:rsid w:val="00754F08"/>
    <w:rsid w:val="0075527C"/>
    <w:rsid w:val="00755B43"/>
    <w:rsid w:val="00755CD0"/>
    <w:rsid w:val="0075617E"/>
    <w:rsid w:val="0075624A"/>
    <w:rsid w:val="00756456"/>
    <w:rsid w:val="0075686B"/>
    <w:rsid w:val="00757418"/>
    <w:rsid w:val="007604FB"/>
    <w:rsid w:val="00762EC6"/>
    <w:rsid w:val="007653E6"/>
    <w:rsid w:val="00766280"/>
    <w:rsid w:val="0076775E"/>
    <w:rsid w:val="00767ABE"/>
    <w:rsid w:val="00770EF8"/>
    <w:rsid w:val="007713E6"/>
    <w:rsid w:val="0077266C"/>
    <w:rsid w:val="00772CCC"/>
    <w:rsid w:val="00773928"/>
    <w:rsid w:val="0077479F"/>
    <w:rsid w:val="0077539A"/>
    <w:rsid w:val="00775E09"/>
    <w:rsid w:val="00777C77"/>
    <w:rsid w:val="007809D6"/>
    <w:rsid w:val="00780E7F"/>
    <w:rsid w:val="00783731"/>
    <w:rsid w:val="007843D9"/>
    <w:rsid w:val="00784A44"/>
    <w:rsid w:val="0078516D"/>
    <w:rsid w:val="00786300"/>
    <w:rsid w:val="00786309"/>
    <w:rsid w:val="00786B2A"/>
    <w:rsid w:val="00790220"/>
    <w:rsid w:val="00791CB7"/>
    <w:rsid w:val="00792EBD"/>
    <w:rsid w:val="00794153"/>
    <w:rsid w:val="007942FA"/>
    <w:rsid w:val="00795355"/>
    <w:rsid w:val="00795E35"/>
    <w:rsid w:val="0079662A"/>
    <w:rsid w:val="007974B6"/>
    <w:rsid w:val="007A06AD"/>
    <w:rsid w:val="007A14B8"/>
    <w:rsid w:val="007A2671"/>
    <w:rsid w:val="007A28A4"/>
    <w:rsid w:val="007A2C30"/>
    <w:rsid w:val="007A3374"/>
    <w:rsid w:val="007A3406"/>
    <w:rsid w:val="007A3C00"/>
    <w:rsid w:val="007A3C21"/>
    <w:rsid w:val="007A474C"/>
    <w:rsid w:val="007A589D"/>
    <w:rsid w:val="007A6870"/>
    <w:rsid w:val="007A69EF"/>
    <w:rsid w:val="007B289A"/>
    <w:rsid w:val="007B2AC8"/>
    <w:rsid w:val="007B4115"/>
    <w:rsid w:val="007B5424"/>
    <w:rsid w:val="007B70A7"/>
    <w:rsid w:val="007B76F5"/>
    <w:rsid w:val="007C0381"/>
    <w:rsid w:val="007C06B8"/>
    <w:rsid w:val="007C14EF"/>
    <w:rsid w:val="007C3E9D"/>
    <w:rsid w:val="007C4A3B"/>
    <w:rsid w:val="007C5165"/>
    <w:rsid w:val="007C61F7"/>
    <w:rsid w:val="007C672E"/>
    <w:rsid w:val="007D02B3"/>
    <w:rsid w:val="007D14E2"/>
    <w:rsid w:val="007D226C"/>
    <w:rsid w:val="007D29F2"/>
    <w:rsid w:val="007D364E"/>
    <w:rsid w:val="007D3891"/>
    <w:rsid w:val="007D7BAF"/>
    <w:rsid w:val="007D7F65"/>
    <w:rsid w:val="007E00A2"/>
    <w:rsid w:val="007E1A3B"/>
    <w:rsid w:val="007E29AA"/>
    <w:rsid w:val="007E2B68"/>
    <w:rsid w:val="007E2C09"/>
    <w:rsid w:val="007E32CF"/>
    <w:rsid w:val="007E37A5"/>
    <w:rsid w:val="007E486C"/>
    <w:rsid w:val="007E4BE2"/>
    <w:rsid w:val="007E57C0"/>
    <w:rsid w:val="007E60F5"/>
    <w:rsid w:val="007E6105"/>
    <w:rsid w:val="007E68C4"/>
    <w:rsid w:val="007E6B21"/>
    <w:rsid w:val="007E7BA4"/>
    <w:rsid w:val="007F00CB"/>
    <w:rsid w:val="007F0838"/>
    <w:rsid w:val="007F0866"/>
    <w:rsid w:val="007F0EDB"/>
    <w:rsid w:val="007F1A71"/>
    <w:rsid w:val="007F28AE"/>
    <w:rsid w:val="007F52BF"/>
    <w:rsid w:val="007F5A61"/>
    <w:rsid w:val="007F6B0A"/>
    <w:rsid w:val="008009D6"/>
    <w:rsid w:val="00802583"/>
    <w:rsid w:val="008027FD"/>
    <w:rsid w:val="008037B8"/>
    <w:rsid w:val="008037C9"/>
    <w:rsid w:val="00803BC1"/>
    <w:rsid w:val="00803C81"/>
    <w:rsid w:val="00806A93"/>
    <w:rsid w:val="008070DA"/>
    <w:rsid w:val="00807970"/>
    <w:rsid w:val="00810A46"/>
    <w:rsid w:val="00810F16"/>
    <w:rsid w:val="008115AC"/>
    <w:rsid w:val="0081190B"/>
    <w:rsid w:val="00811BB0"/>
    <w:rsid w:val="008128A1"/>
    <w:rsid w:val="0081404B"/>
    <w:rsid w:val="0081488A"/>
    <w:rsid w:val="008156D3"/>
    <w:rsid w:val="00815D6A"/>
    <w:rsid w:val="008161B6"/>
    <w:rsid w:val="008165E5"/>
    <w:rsid w:val="008169E3"/>
    <w:rsid w:val="00817822"/>
    <w:rsid w:val="0082054C"/>
    <w:rsid w:val="008211DB"/>
    <w:rsid w:val="00821A64"/>
    <w:rsid w:val="008227CF"/>
    <w:rsid w:val="0082336B"/>
    <w:rsid w:val="00825BE3"/>
    <w:rsid w:val="008300B6"/>
    <w:rsid w:val="008312E7"/>
    <w:rsid w:val="00833384"/>
    <w:rsid w:val="008349EB"/>
    <w:rsid w:val="008366FC"/>
    <w:rsid w:val="00836C79"/>
    <w:rsid w:val="008406BF"/>
    <w:rsid w:val="00841394"/>
    <w:rsid w:val="00841647"/>
    <w:rsid w:val="00845E53"/>
    <w:rsid w:val="00845FA5"/>
    <w:rsid w:val="0084703C"/>
    <w:rsid w:val="00847211"/>
    <w:rsid w:val="00847D92"/>
    <w:rsid w:val="00850475"/>
    <w:rsid w:val="00851520"/>
    <w:rsid w:val="008524B2"/>
    <w:rsid w:val="00852DFE"/>
    <w:rsid w:val="008532D2"/>
    <w:rsid w:val="0085678B"/>
    <w:rsid w:val="00860B1F"/>
    <w:rsid w:val="008618D9"/>
    <w:rsid w:val="00861CF6"/>
    <w:rsid w:val="008650E7"/>
    <w:rsid w:val="00866DEB"/>
    <w:rsid w:val="0087035D"/>
    <w:rsid w:val="00870428"/>
    <w:rsid w:val="00870C4A"/>
    <w:rsid w:val="00875763"/>
    <w:rsid w:val="008771C5"/>
    <w:rsid w:val="00880F7D"/>
    <w:rsid w:val="00881A64"/>
    <w:rsid w:val="00882289"/>
    <w:rsid w:val="00887410"/>
    <w:rsid w:val="0088761D"/>
    <w:rsid w:val="008919EA"/>
    <w:rsid w:val="00891EDD"/>
    <w:rsid w:val="00892B5E"/>
    <w:rsid w:val="00892CC9"/>
    <w:rsid w:val="00893151"/>
    <w:rsid w:val="00893FEC"/>
    <w:rsid w:val="00895328"/>
    <w:rsid w:val="00896ACC"/>
    <w:rsid w:val="008A038B"/>
    <w:rsid w:val="008A1BB1"/>
    <w:rsid w:val="008A4069"/>
    <w:rsid w:val="008A4E3B"/>
    <w:rsid w:val="008A609D"/>
    <w:rsid w:val="008A6106"/>
    <w:rsid w:val="008A63A2"/>
    <w:rsid w:val="008A6CCE"/>
    <w:rsid w:val="008A6DD8"/>
    <w:rsid w:val="008A7308"/>
    <w:rsid w:val="008A769A"/>
    <w:rsid w:val="008B3446"/>
    <w:rsid w:val="008B4C5D"/>
    <w:rsid w:val="008B5816"/>
    <w:rsid w:val="008C12F1"/>
    <w:rsid w:val="008C55A6"/>
    <w:rsid w:val="008C68C4"/>
    <w:rsid w:val="008D3FDE"/>
    <w:rsid w:val="008D4062"/>
    <w:rsid w:val="008D49F1"/>
    <w:rsid w:val="008D4EF1"/>
    <w:rsid w:val="008D5BF5"/>
    <w:rsid w:val="008D6610"/>
    <w:rsid w:val="008D7464"/>
    <w:rsid w:val="008D7CD6"/>
    <w:rsid w:val="008D7D26"/>
    <w:rsid w:val="008E11F0"/>
    <w:rsid w:val="008E2B76"/>
    <w:rsid w:val="008E2BC1"/>
    <w:rsid w:val="008E2BE8"/>
    <w:rsid w:val="008E2E77"/>
    <w:rsid w:val="008E35D8"/>
    <w:rsid w:val="008E4F47"/>
    <w:rsid w:val="008E6924"/>
    <w:rsid w:val="008E6C7A"/>
    <w:rsid w:val="008F073F"/>
    <w:rsid w:val="008F189D"/>
    <w:rsid w:val="008F2DC9"/>
    <w:rsid w:val="008F3110"/>
    <w:rsid w:val="008F3626"/>
    <w:rsid w:val="008F4372"/>
    <w:rsid w:val="008F54DD"/>
    <w:rsid w:val="008F63E9"/>
    <w:rsid w:val="008F69AE"/>
    <w:rsid w:val="008F6D60"/>
    <w:rsid w:val="008F778B"/>
    <w:rsid w:val="008F7BE8"/>
    <w:rsid w:val="00901A16"/>
    <w:rsid w:val="00901DFC"/>
    <w:rsid w:val="0090292E"/>
    <w:rsid w:val="00902BBD"/>
    <w:rsid w:val="009048D7"/>
    <w:rsid w:val="00906D27"/>
    <w:rsid w:val="0090707C"/>
    <w:rsid w:val="009129A5"/>
    <w:rsid w:val="009132DF"/>
    <w:rsid w:val="0091409A"/>
    <w:rsid w:val="00914465"/>
    <w:rsid w:val="00916C0E"/>
    <w:rsid w:val="009204D6"/>
    <w:rsid w:val="009212EF"/>
    <w:rsid w:val="00922997"/>
    <w:rsid w:val="009235AB"/>
    <w:rsid w:val="00924F64"/>
    <w:rsid w:val="00925172"/>
    <w:rsid w:val="009265A2"/>
    <w:rsid w:val="00930116"/>
    <w:rsid w:val="009306F6"/>
    <w:rsid w:val="00932693"/>
    <w:rsid w:val="00932BF8"/>
    <w:rsid w:val="009363DD"/>
    <w:rsid w:val="00936642"/>
    <w:rsid w:val="00940171"/>
    <w:rsid w:val="009421DF"/>
    <w:rsid w:val="009422D9"/>
    <w:rsid w:val="0094268E"/>
    <w:rsid w:val="00942CC9"/>
    <w:rsid w:val="00942E18"/>
    <w:rsid w:val="00942FF7"/>
    <w:rsid w:val="00943C4B"/>
    <w:rsid w:val="00943F42"/>
    <w:rsid w:val="00943FCA"/>
    <w:rsid w:val="00945180"/>
    <w:rsid w:val="00945658"/>
    <w:rsid w:val="00946D1A"/>
    <w:rsid w:val="00946E78"/>
    <w:rsid w:val="00947571"/>
    <w:rsid w:val="00947F6F"/>
    <w:rsid w:val="00950FA3"/>
    <w:rsid w:val="00953867"/>
    <w:rsid w:val="00953905"/>
    <w:rsid w:val="00953CEC"/>
    <w:rsid w:val="00954D24"/>
    <w:rsid w:val="00955E50"/>
    <w:rsid w:val="0095632E"/>
    <w:rsid w:val="00957C81"/>
    <w:rsid w:val="00960268"/>
    <w:rsid w:val="009606C2"/>
    <w:rsid w:val="009625D0"/>
    <w:rsid w:val="009627B8"/>
    <w:rsid w:val="009627EC"/>
    <w:rsid w:val="00962A7A"/>
    <w:rsid w:val="00963719"/>
    <w:rsid w:val="009641F8"/>
    <w:rsid w:val="00964F2B"/>
    <w:rsid w:val="00971ACF"/>
    <w:rsid w:val="00974AA7"/>
    <w:rsid w:val="00976389"/>
    <w:rsid w:val="0097689E"/>
    <w:rsid w:val="00977022"/>
    <w:rsid w:val="0097758F"/>
    <w:rsid w:val="009803DF"/>
    <w:rsid w:val="00982115"/>
    <w:rsid w:val="00984048"/>
    <w:rsid w:val="009845FF"/>
    <w:rsid w:val="009854DA"/>
    <w:rsid w:val="009911FB"/>
    <w:rsid w:val="009912E0"/>
    <w:rsid w:val="009931DC"/>
    <w:rsid w:val="00995489"/>
    <w:rsid w:val="00995910"/>
    <w:rsid w:val="009960D9"/>
    <w:rsid w:val="00996765"/>
    <w:rsid w:val="00996F88"/>
    <w:rsid w:val="00997379"/>
    <w:rsid w:val="009A0AA2"/>
    <w:rsid w:val="009A2E21"/>
    <w:rsid w:val="009A432A"/>
    <w:rsid w:val="009A4AC2"/>
    <w:rsid w:val="009A4D07"/>
    <w:rsid w:val="009A51E4"/>
    <w:rsid w:val="009A65FC"/>
    <w:rsid w:val="009A723D"/>
    <w:rsid w:val="009A773F"/>
    <w:rsid w:val="009A7E28"/>
    <w:rsid w:val="009B11A4"/>
    <w:rsid w:val="009B1A88"/>
    <w:rsid w:val="009B21A9"/>
    <w:rsid w:val="009B2794"/>
    <w:rsid w:val="009B2D93"/>
    <w:rsid w:val="009B331F"/>
    <w:rsid w:val="009B3836"/>
    <w:rsid w:val="009B5357"/>
    <w:rsid w:val="009B5BAE"/>
    <w:rsid w:val="009C0055"/>
    <w:rsid w:val="009C0D3E"/>
    <w:rsid w:val="009C2B47"/>
    <w:rsid w:val="009C301E"/>
    <w:rsid w:val="009C33B8"/>
    <w:rsid w:val="009C6682"/>
    <w:rsid w:val="009C7D60"/>
    <w:rsid w:val="009D082F"/>
    <w:rsid w:val="009D143B"/>
    <w:rsid w:val="009D198E"/>
    <w:rsid w:val="009D1A13"/>
    <w:rsid w:val="009D1B18"/>
    <w:rsid w:val="009D3210"/>
    <w:rsid w:val="009D3AC5"/>
    <w:rsid w:val="009D49A9"/>
    <w:rsid w:val="009D5A43"/>
    <w:rsid w:val="009D5F4F"/>
    <w:rsid w:val="009D6940"/>
    <w:rsid w:val="009D7749"/>
    <w:rsid w:val="009E1076"/>
    <w:rsid w:val="009E1383"/>
    <w:rsid w:val="009E1704"/>
    <w:rsid w:val="009E1A03"/>
    <w:rsid w:val="009E1D04"/>
    <w:rsid w:val="009E2BD0"/>
    <w:rsid w:val="009E35E5"/>
    <w:rsid w:val="009E4757"/>
    <w:rsid w:val="009E6615"/>
    <w:rsid w:val="009E7616"/>
    <w:rsid w:val="009F3339"/>
    <w:rsid w:val="009F3526"/>
    <w:rsid w:val="009F3A49"/>
    <w:rsid w:val="009F411F"/>
    <w:rsid w:val="009F452D"/>
    <w:rsid w:val="009F4599"/>
    <w:rsid w:val="009F4F07"/>
    <w:rsid w:val="009F6E62"/>
    <w:rsid w:val="00A00B91"/>
    <w:rsid w:val="00A01ADB"/>
    <w:rsid w:val="00A01B52"/>
    <w:rsid w:val="00A04115"/>
    <w:rsid w:val="00A051F5"/>
    <w:rsid w:val="00A05CF2"/>
    <w:rsid w:val="00A0654C"/>
    <w:rsid w:val="00A107AE"/>
    <w:rsid w:val="00A108E9"/>
    <w:rsid w:val="00A10FC2"/>
    <w:rsid w:val="00A139BD"/>
    <w:rsid w:val="00A14706"/>
    <w:rsid w:val="00A14DE6"/>
    <w:rsid w:val="00A165E5"/>
    <w:rsid w:val="00A21764"/>
    <w:rsid w:val="00A21A8E"/>
    <w:rsid w:val="00A222FD"/>
    <w:rsid w:val="00A228CC"/>
    <w:rsid w:val="00A22D2B"/>
    <w:rsid w:val="00A23081"/>
    <w:rsid w:val="00A24229"/>
    <w:rsid w:val="00A25062"/>
    <w:rsid w:val="00A25C6C"/>
    <w:rsid w:val="00A26865"/>
    <w:rsid w:val="00A3244B"/>
    <w:rsid w:val="00A33E1A"/>
    <w:rsid w:val="00A33F2C"/>
    <w:rsid w:val="00A345B7"/>
    <w:rsid w:val="00A34ADB"/>
    <w:rsid w:val="00A35C50"/>
    <w:rsid w:val="00A360BD"/>
    <w:rsid w:val="00A36952"/>
    <w:rsid w:val="00A375B1"/>
    <w:rsid w:val="00A404DB"/>
    <w:rsid w:val="00A40EBA"/>
    <w:rsid w:val="00A41013"/>
    <w:rsid w:val="00A41143"/>
    <w:rsid w:val="00A418AB"/>
    <w:rsid w:val="00A421AE"/>
    <w:rsid w:val="00A432EC"/>
    <w:rsid w:val="00A43730"/>
    <w:rsid w:val="00A43F9F"/>
    <w:rsid w:val="00A443FC"/>
    <w:rsid w:val="00A44D44"/>
    <w:rsid w:val="00A458E2"/>
    <w:rsid w:val="00A46A4B"/>
    <w:rsid w:val="00A47762"/>
    <w:rsid w:val="00A47AB3"/>
    <w:rsid w:val="00A50994"/>
    <w:rsid w:val="00A51F23"/>
    <w:rsid w:val="00A526AF"/>
    <w:rsid w:val="00A535AE"/>
    <w:rsid w:val="00A53B7B"/>
    <w:rsid w:val="00A54027"/>
    <w:rsid w:val="00A5447F"/>
    <w:rsid w:val="00A544EF"/>
    <w:rsid w:val="00A555B0"/>
    <w:rsid w:val="00A55E4E"/>
    <w:rsid w:val="00A562F1"/>
    <w:rsid w:val="00A56C2B"/>
    <w:rsid w:val="00A5738B"/>
    <w:rsid w:val="00A57D12"/>
    <w:rsid w:val="00A57E9D"/>
    <w:rsid w:val="00A605B6"/>
    <w:rsid w:val="00A61840"/>
    <w:rsid w:val="00A62035"/>
    <w:rsid w:val="00A62BBB"/>
    <w:rsid w:val="00A6366C"/>
    <w:rsid w:val="00A63EDF"/>
    <w:rsid w:val="00A64963"/>
    <w:rsid w:val="00A66764"/>
    <w:rsid w:val="00A66AC3"/>
    <w:rsid w:val="00A70E06"/>
    <w:rsid w:val="00A71465"/>
    <w:rsid w:val="00A71A20"/>
    <w:rsid w:val="00A71FE7"/>
    <w:rsid w:val="00A72F66"/>
    <w:rsid w:val="00A73176"/>
    <w:rsid w:val="00A7410B"/>
    <w:rsid w:val="00A74FCE"/>
    <w:rsid w:val="00A7592D"/>
    <w:rsid w:val="00A76ED7"/>
    <w:rsid w:val="00A77A09"/>
    <w:rsid w:val="00A805B7"/>
    <w:rsid w:val="00A806E5"/>
    <w:rsid w:val="00A81F2E"/>
    <w:rsid w:val="00A824D9"/>
    <w:rsid w:val="00A82B1E"/>
    <w:rsid w:val="00A82C15"/>
    <w:rsid w:val="00A8333B"/>
    <w:rsid w:val="00A83BB6"/>
    <w:rsid w:val="00A843A4"/>
    <w:rsid w:val="00A84E57"/>
    <w:rsid w:val="00A85647"/>
    <w:rsid w:val="00A85E79"/>
    <w:rsid w:val="00A90B88"/>
    <w:rsid w:val="00A91CAB"/>
    <w:rsid w:val="00A924B2"/>
    <w:rsid w:val="00A92D87"/>
    <w:rsid w:val="00A93704"/>
    <w:rsid w:val="00A9436C"/>
    <w:rsid w:val="00A94375"/>
    <w:rsid w:val="00A9467F"/>
    <w:rsid w:val="00A97539"/>
    <w:rsid w:val="00AA16A9"/>
    <w:rsid w:val="00AA2763"/>
    <w:rsid w:val="00AA4CE7"/>
    <w:rsid w:val="00AA4F13"/>
    <w:rsid w:val="00AA5148"/>
    <w:rsid w:val="00AA63C7"/>
    <w:rsid w:val="00AA7A36"/>
    <w:rsid w:val="00AB1182"/>
    <w:rsid w:val="00AB2260"/>
    <w:rsid w:val="00AB349B"/>
    <w:rsid w:val="00AB39BE"/>
    <w:rsid w:val="00AB529B"/>
    <w:rsid w:val="00AB5300"/>
    <w:rsid w:val="00AB5977"/>
    <w:rsid w:val="00AB5B9C"/>
    <w:rsid w:val="00AC0130"/>
    <w:rsid w:val="00AC1F12"/>
    <w:rsid w:val="00AC1FCB"/>
    <w:rsid w:val="00AC3007"/>
    <w:rsid w:val="00AC3403"/>
    <w:rsid w:val="00AC3F38"/>
    <w:rsid w:val="00AC714A"/>
    <w:rsid w:val="00AD03F0"/>
    <w:rsid w:val="00AD165A"/>
    <w:rsid w:val="00AD4C35"/>
    <w:rsid w:val="00AD4FCD"/>
    <w:rsid w:val="00AD650D"/>
    <w:rsid w:val="00AE0A72"/>
    <w:rsid w:val="00AE114B"/>
    <w:rsid w:val="00AE2ACA"/>
    <w:rsid w:val="00AE41C6"/>
    <w:rsid w:val="00AE6751"/>
    <w:rsid w:val="00AE7848"/>
    <w:rsid w:val="00AF0329"/>
    <w:rsid w:val="00AF217D"/>
    <w:rsid w:val="00AF2A27"/>
    <w:rsid w:val="00AF3FE4"/>
    <w:rsid w:val="00AF41F4"/>
    <w:rsid w:val="00AF56A9"/>
    <w:rsid w:val="00AF5E87"/>
    <w:rsid w:val="00AF5F60"/>
    <w:rsid w:val="00AF62C1"/>
    <w:rsid w:val="00AF6615"/>
    <w:rsid w:val="00AF6E1B"/>
    <w:rsid w:val="00AF6F70"/>
    <w:rsid w:val="00AF7975"/>
    <w:rsid w:val="00AF7E38"/>
    <w:rsid w:val="00B028D4"/>
    <w:rsid w:val="00B031BA"/>
    <w:rsid w:val="00B0558E"/>
    <w:rsid w:val="00B061BB"/>
    <w:rsid w:val="00B06D79"/>
    <w:rsid w:val="00B06F6B"/>
    <w:rsid w:val="00B07468"/>
    <w:rsid w:val="00B11D44"/>
    <w:rsid w:val="00B11D8C"/>
    <w:rsid w:val="00B11EA8"/>
    <w:rsid w:val="00B12179"/>
    <w:rsid w:val="00B14CF7"/>
    <w:rsid w:val="00B17489"/>
    <w:rsid w:val="00B17B31"/>
    <w:rsid w:val="00B20FB0"/>
    <w:rsid w:val="00B210D4"/>
    <w:rsid w:val="00B21A4B"/>
    <w:rsid w:val="00B21CFF"/>
    <w:rsid w:val="00B22ECA"/>
    <w:rsid w:val="00B23161"/>
    <w:rsid w:val="00B23B23"/>
    <w:rsid w:val="00B23C34"/>
    <w:rsid w:val="00B24085"/>
    <w:rsid w:val="00B25652"/>
    <w:rsid w:val="00B26363"/>
    <w:rsid w:val="00B2636A"/>
    <w:rsid w:val="00B2653A"/>
    <w:rsid w:val="00B26558"/>
    <w:rsid w:val="00B267DE"/>
    <w:rsid w:val="00B27418"/>
    <w:rsid w:val="00B278EB"/>
    <w:rsid w:val="00B31056"/>
    <w:rsid w:val="00B31131"/>
    <w:rsid w:val="00B3151C"/>
    <w:rsid w:val="00B31730"/>
    <w:rsid w:val="00B31774"/>
    <w:rsid w:val="00B31C5A"/>
    <w:rsid w:val="00B33E1D"/>
    <w:rsid w:val="00B344AA"/>
    <w:rsid w:val="00B35981"/>
    <w:rsid w:val="00B36174"/>
    <w:rsid w:val="00B37BD1"/>
    <w:rsid w:val="00B4026D"/>
    <w:rsid w:val="00B4055C"/>
    <w:rsid w:val="00B4097F"/>
    <w:rsid w:val="00B40A9E"/>
    <w:rsid w:val="00B4105E"/>
    <w:rsid w:val="00B41EE2"/>
    <w:rsid w:val="00B442CA"/>
    <w:rsid w:val="00B45822"/>
    <w:rsid w:val="00B458E7"/>
    <w:rsid w:val="00B45987"/>
    <w:rsid w:val="00B45CFD"/>
    <w:rsid w:val="00B46EE1"/>
    <w:rsid w:val="00B5064B"/>
    <w:rsid w:val="00B51366"/>
    <w:rsid w:val="00B532B4"/>
    <w:rsid w:val="00B55857"/>
    <w:rsid w:val="00B55EFD"/>
    <w:rsid w:val="00B57AD8"/>
    <w:rsid w:val="00B61ECE"/>
    <w:rsid w:val="00B628E3"/>
    <w:rsid w:val="00B629E2"/>
    <w:rsid w:val="00B63048"/>
    <w:rsid w:val="00B664D2"/>
    <w:rsid w:val="00B66688"/>
    <w:rsid w:val="00B66995"/>
    <w:rsid w:val="00B70179"/>
    <w:rsid w:val="00B70522"/>
    <w:rsid w:val="00B70EBE"/>
    <w:rsid w:val="00B71737"/>
    <w:rsid w:val="00B71ACE"/>
    <w:rsid w:val="00B72E55"/>
    <w:rsid w:val="00B73021"/>
    <w:rsid w:val="00B7307F"/>
    <w:rsid w:val="00B730C3"/>
    <w:rsid w:val="00B7413D"/>
    <w:rsid w:val="00B743FC"/>
    <w:rsid w:val="00B74762"/>
    <w:rsid w:val="00B75774"/>
    <w:rsid w:val="00B75B5C"/>
    <w:rsid w:val="00B75CC7"/>
    <w:rsid w:val="00B764C1"/>
    <w:rsid w:val="00B767AC"/>
    <w:rsid w:val="00B7750A"/>
    <w:rsid w:val="00B77642"/>
    <w:rsid w:val="00B80428"/>
    <w:rsid w:val="00B80482"/>
    <w:rsid w:val="00B80EDB"/>
    <w:rsid w:val="00B81D57"/>
    <w:rsid w:val="00B82648"/>
    <w:rsid w:val="00B826A0"/>
    <w:rsid w:val="00B849C8"/>
    <w:rsid w:val="00B84A61"/>
    <w:rsid w:val="00B8603A"/>
    <w:rsid w:val="00B864B7"/>
    <w:rsid w:val="00B9013D"/>
    <w:rsid w:val="00B903DF"/>
    <w:rsid w:val="00B92222"/>
    <w:rsid w:val="00B9238D"/>
    <w:rsid w:val="00B929FC"/>
    <w:rsid w:val="00B93255"/>
    <w:rsid w:val="00B9344A"/>
    <w:rsid w:val="00B93A91"/>
    <w:rsid w:val="00B94ABD"/>
    <w:rsid w:val="00B951EC"/>
    <w:rsid w:val="00B963A1"/>
    <w:rsid w:val="00B97275"/>
    <w:rsid w:val="00BA1CD0"/>
    <w:rsid w:val="00BA1F21"/>
    <w:rsid w:val="00BA36E9"/>
    <w:rsid w:val="00BA3DBD"/>
    <w:rsid w:val="00BA4A20"/>
    <w:rsid w:val="00BA4C0C"/>
    <w:rsid w:val="00BA5D0D"/>
    <w:rsid w:val="00BA5D9C"/>
    <w:rsid w:val="00BA6194"/>
    <w:rsid w:val="00BA73F5"/>
    <w:rsid w:val="00BA78E3"/>
    <w:rsid w:val="00BB0BB8"/>
    <w:rsid w:val="00BB1E86"/>
    <w:rsid w:val="00BB24DB"/>
    <w:rsid w:val="00BB2CCB"/>
    <w:rsid w:val="00BB354F"/>
    <w:rsid w:val="00BB36AA"/>
    <w:rsid w:val="00BB3AC0"/>
    <w:rsid w:val="00BB4971"/>
    <w:rsid w:val="00BB4BD8"/>
    <w:rsid w:val="00BB56C2"/>
    <w:rsid w:val="00BB593D"/>
    <w:rsid w:val="00BB639C"/>
    <w:rsid w:val="00BB7425"/>
    <w:rsid w:val="00BB7B7D"/>
    <w:rsid w:val="00BC0122"/>
    <w:rsid w:val="00BC04A2"/>
    <w:rsid w:val="00BC2CDD"/>
    <w:rsid w:val="00BC3795"/>
    <w:rsid w:val="00BC4015"/>
    <w:rsid w:val="00BC43B2"/>
    <w:rsid w:val="00BC5279"/>
    <w:rsid w:val="00BC5A8C"/>
    <w:rsid w:val="00BD055B"/>
    <w:rsid w:val="00BD0FD7"/>
    <w:rsid w:val="00BD173D"/>
    <w:rsid w:val="00BD185F"/>
    <w:rsid w:val="00BD419E"/>
    <w:rsid w:val="00BD4846"/>
    <w:rsid w:val="00BD66CA"/>
    <w:rsid w:val="00BE0140"/>
    <w:rsid w:val="00BE0F6D"/>
    <w:rsid w:val="00BE155B"/>
    <w:rsid w:val="00BE2996"/>
    <w:rsid w:val="00BE2E56"/>
    <w:rsid w:val="00BE449C"/>
    <w:rsid w:val="00BE4593"/>
    <w:rsid w:val="00BE46FB"/>
    <w:rsid w:val="00BE48EE"/>
    <w:rsid w:val="00BE5146"/>
    <w:rsid w:val="00BE5230"/>
    <w:rsid w:val="00BE5B28"/>
    <w:rsid w:val="00BE5BDB"/>
    <w:rsid w:val="00BF13CE"/>
    <w:rsid w:val="00BF2569"/>
    <w:rsid w:val="00BF35B8"/>
    <w:rsid w:val="00BF3ADF"/>
    <w:rsid w:val="00BF4B75"/>
    <w:rsid w:val="00BF514D"/>
    <w:rsid w:val="00BF7680"/>
    <w:rsid w:val="00BF794E"/>
    <w:rsid w:val="00C00100"/>
    <w:rsid w:val="00C00DEE"/>
    <w:rsid w:val="00C012B8"/>
    <w:rsid w:val="00C0196D"/>
    <w:rsid w:val="00C0228F"/>
    <w:rsid w:val="00C02849"/>
    <w:rsid w:val="00C028D2"/>
    <w:rsid w:val="00C033A7"/>
    <w:rsid w:val="00C046AA"/>
    <w:rsid w:val="00C0606A"/>
    <w:rsid w:val="00C061DC"/>
    <w:rsid w:val="00C124DE"/>
    <w:rsid w:val="00C13BA0"/>
    <w:rsid w:val="00C13FFC"/>
    <w:rsid w:val="00C144C4"/>
    <w:rsid w:val="00C158BD"/>
    <w:rsid w:val="00C167FE"/>
    <w:rsid w:val="00C16A30"/>
    <w:rsid w:val="00C170FF"/>
    <w:rsid w:val="00C17A46"/>
    <w:rsid w:val="00C202A5"/>
    <w:rsid w:val="00C217B5"/>
    <w:rsid w:val="00C21DF8"/>
    <w:rsid w:val="00C242FF"/>
    <w:rsid w:val="00C254E9"/>
    <w:rsid w:val="00C26D4C"/>
    <w:rsid w:val="00C3009F"/>
    <w:rsid w:val="00C30407"/>
    <w:rsid w:val="00C30645"/>
    <w:rsid w:val="00C314E5"/>
    <w:rsid w:val="00C31FA8"/>
    <w:rsid w:val="00C3311E"/>
    <w:rsid w:val="00C338D8"/>
    <w:rsid w:val="00C33BD8"/>
    <w:rsid w:val="00C34542"/>
    <w:rsid w:val="00C34D6A"/>
    <w:rsid w:val="00C35581"/>
    <w:rsid w:val="00C35979"/>
    <w:rsid w:val="00C40643"/>
    <w:rsid w:val="00C414C2"/>
    <w:rsid w:val="00C41B2B"/>
    <w:rsid w:val="00C42125"/>
    <w:rsid w:val="00C423C3"/>
    <w:rsid w:val="00C42B9E"/>
    <w:rsid w:val="00C43E93"/>
    <w:rsid w:val="00C43EC5"/>
    <w:rsid w:val="00C440A1"/>
    <w:rsid w:val="00C44D92"/>
    <w:rsid w:val="00C4582E"/>
    <w:rsid w:val="00C45C78"/>
    <w:rsid w:val="00C46072"/>
    <w:rsid w:val="00C467B2"/>
    <w:rsid w:val="00C47808"/>
    <w:rsid w:val="00C5003E"/>
    <w:rsid w:val="00C50185"/>
    <w:rsid w:val="00C5168E"/>
    <w:rsid w:val="00C52D8C"/>
    <w:rsid w:val="00C55B91"/>
    <w:rsid w:val="00C56507"/>
    <w:rsid w:val="00C56652"/>
    <w:rsid w:val="00C570C8"/>
    <w:rsid w:val="00C602A9"/>
    <w:rsid w:val="00C62607"/>
    <w:rsid w:val="00C62B1F"/>
    <w:rsid w:val="00C6480E"/>
    <w:rsid w:val="00C6482A"/>
    <w:rsid w:val="00C707E2"/>
    <w:rsid w:val="00C70970"/>
    <w:rsid w:val="00C73FD3"/>
    <w:rsid w:val="00C75781"/>
    <w:rsid w:val="00C767EB"/>
    <w:rsid w:val="00C77EF6"/>
    <w:rsid w:val="00C77F41"/>
    <w:rsid w:val="00C827C5"/>
    <w:rsid w:val="00C83725"/>
    <w:rsid w:val="00C84409"/>
    <w:rsid w:val="00C84A63"/>
    <w:rsid w:val="00C866AE"/>
    <w:rsid w:val="00C914D6"/>
    <w:rsid w:val="00C9276F"/>
    <w:rsid w:val="00C927EF"/>
    <w:rsid w:val="00C936C1"/>
    <w:rsid w:val="00C94083"/>
    <w:rsid w:val="00C9418B"/>
    <w:rsid w:val="00C9498E"/>
    <w:rsid w:val="00C95A66"/>
    <w:rsid w:val="00C95BBD"/>
    <w:rsid w:val="00C96508"/>
    <w:rsid w:val="00C9791F"/>
    <w:rsid w:val="00C97CEF"/>
    <w:rsid w:val="00CA0CFC"/>
    <w:rsid w:val="00CA11E3"/>
    <w:rsid w:val="00CA1546"/>
    <w:rsid w:val="00CA1704"/>
    <w:rsid w:val="00CA230E"/>
    <w:rsid w:val="00CA2579"/>
    <w:rsid w:val="00CA3149"/>
    <w:rsid w:val="00CA3290"/>
    <w:rsid w:val="00CA34B7"/>
    <w:rsid w:val="00CA6F01"/>
    <w:rsid w:val="00CA71D8"/>
    <w:rsid w:val="00CA7518"/>
    <w:rsid w:val="00CB04C5"/>
    <w:rsid w:val="00CB11C4"/>
    <w:rsid w:val="00CB153C"/>
    <w:rsid w:val="00CB1D6D"/>
    <w:rsid w:val="00CB39FE"/>
    <w:rsid w:val="00CB3CEB"/>
    <w:rsid w:val="00CB51F1"/>
    <w:rsid w:val="00CB7307"/>
    <w:rsid w:val="00CB7D05"/>
    <w:rsid w:val="00CC137C"/>
    <w:rsid w:val="00CC22AF"/>
    <w:rsid w:val="00CC2C65"/>
    <w:rsid w:val="00CC352C"/>
    <w:rsid w:val="00CC4B08"/>
    <w:rsid w:val="00CC7F80"/>
    <w:rsid w:val="00CD0267"/>
    <w:rsid w:val="00CD1F65"/>
    <w:rsid w:val="00CD3322"/>
    <w:rsid w:val="00CD3603"/>
    <w:rsid w:val="00CD5053"/>
    <w:rsid w:val="00CD5860"/>
    <w:rsid w:val="00CD6116"/>
    <w:rsid w:val="00CD6157"/>
    <w:rsid w:val="00CD6E35"/>
    <w:rsid w:val="00CD7516"/>
    <w:rsid w:val="00CD7726"/>
    <w:rsid w:val="00CD78DD"/>
    <w:rsid w:val="00CD7C82"/>
    <w:rsid w:val="00CE007A"/>
    <w:rsid w:val="00CE0518"/>
    <w:rsid w:val="00CE07C7"/>
    <w:rsid w:val="00CE0BA2"/>
    <w:rsid w:val="00CE1E33"/>
    <w:rsid w:val="00CE2B66"/>
    <w:rsid w:val="00CE2CD3"/>
    <w:rsid w:val="00CE3CDF"/>
    <w:rsid w:val="00CE3F5A"/>
    <w:rsid w:val="00CE4101"/>
    <w:rsid w:val="00CE5675"/>
    <w:rsid w:val="00CE6ECF"/>
    <w:rsid w:val="00CF0AFC"/>
    <w:rsid w:val="00CF2A16"/>
    <w:rsid w:val="00CF2D1C"/>
    <w:rsid w:val="00CF3F41"/>
    <w:rsid w:val="00CF4BB7"/>
    <w:rsid w:val="00CF529E"/>
    <w:rsid w:val="00CF56E3"/>
    <w:rsid w:val="00CF66EB"/>
    <w:rsid w:val="00CF729D"/>
    <w:rsid w:val="00CF7FFC"/>
    <w:rsid w:val="00D00165"/>
    <w:rsid w:val="00D029B5"/>
    <w:rsid w:val="00D0391D"/>
    <w:rsid w:val="00D03E2A"/>
    <w:rsid w:val="00D0426A"/>
    <w:rsid w:val="00D0505B"/>
    <w:rsid w:val="00D06388"/>
    <w:rsid w:val="00D076D4"/>
    <w:rsid w:val="00D07FD1"/>
    <w:rsid w:val="00D1122F"/>
    <w:rsid w:val="00D11737"/>
    <w:rsid w:val="00D11C09"/>
    <w:rsid w:val="00D1295A"/>
    <w:rsid w:val="00D139C5"/>
    <w:rsid w:val="00D1422A"/>
    <w:rsid w:val="00D1589C"/>
    <w:rsid w:val="00D1615E"/>
    <w:rsid w:val="00D16F93"/>
    <w:rsid w:val="00D2178C"/>
    <w:rsid w:val="00D2178D"/>
    <w:rsid w:val="00D21870"/>
    <w:rsid w:val="00D2259E"/>
    <w:rsid w:val="00D24545"/>
    <w:rsid w:val="00D2483E"/>
    <w:rsid w:val="00D2540E"/>
    <w:rsid w:val="00D257A5"/>
    <w:rsid w:val="00D25F87"/>
    <w:rsid w:val="00D27C65"/>
    <w:rsid w:val="00D30B79"/>
    <w:rsid w:val="00D318AF"/>
    <w:rsid w:val="00D319BE"/>
    <w:rsid w:val="00D31D93"/>
    <w:rsid w:val="00D3231F"/>
    <w:rsid w:val="00D33341"/>
    <w:rsid w:val="00D33968"/>
    <w:rsid w:val="00D34145"/>
    <w:rsid w:val="00D35DDE"/>
    <w:rsid w:val="00D369CC"/>
    <w:rsid w:val="00D37CD6"/>
    <w:rsid w:val="00D4033B"/>
    <w:rsid w:val="00D40718"/>
    <w:rsid w:val="00D4123C"/>
    <w:rsid w:val="00D41527"/>
    <w:rsid w:val="00D43C8B"/>
    <w:rsid w:val="00D44993"/>
    <w:rsid w:val="00D44F00"/>
    <w:rsid w:val="00D4531E"/>
    <w:rsid w:val="00D46259"/>
    <w:rsid w:val="00D46278"/>
    <w:rsid w:val="00D4629E"/>
    <w:rsid w:val="00D47168"/>
    <w:rsid w:val="00D4720D"/>
    <w:rsid w:val="00D47A27"/>
    <w:rsid w:val="00D5172C"/>
    <w:rsid w:val="00D53762"/>
    <w:rsid w:val="00D53C26"/>
    <w:rsid w:val="00D54262"/>
    <w:rsid w:val="00D54D59"/>
    <w:rsid w:val="00D55327"/>
    <w:rsid w:val="00D556A1"/>
    <w:rsid w:val="00D558D0"/>
    <w:rsid w:val="00D55DD1"/>
    <w:rsid w:val="00D56E17"/>
    <w:rsid w:val="00D56E51"/>
    <w:rsid w:val="00D603E2"/>
    <w:rsid w:val="00D62480"/>
    <w:rsid w:val="00D62A3D"/>
    <w:rsid w:val="00D6498A"/>
    <w:rsid w:val="00D65AC5"/>
    <w:rsid w:val="00D66991"/>
    <w:rsid w:val="00D66C09"/>
    <w:rsid w:val="00D67553"/>
    <w:rsid w:val="00D71A62"/>
    <w:rsid w:val="00D72BE5"/>
    <w:rsid w:val="00D743AE"/>
    <w:rsid w:val="00D75BBD"/>
    <w:rsid w:val="00D7644A"/>
    <w:rsid w:val="00D8015D"/>
    <w:rsid w:val="00D812E1"/>
    <w:rsid w:val="00D81DD7"/>
    <w:rsid w:val="00D82149"/>
    <w:rsid w:val="00D83996"/>
    <w:rsid w:val="00D8446D"/>
    <w:rsid w:val="00D865FE"/>
    <w:rsid w:val="00D873ED"/>
    <w:rsid w:val="00D9006A"/>
    <w:rsid w:val="00D90C97"/>
    <w:rsid w:val="00D91867"/>
    <w:rsid w:val="00D9366E"/>
    <w:rsid w:val="00D944FD"/>
    <w:rsid w:val="00D9463B"/>
    <w:rsid w:val="00D9762D"/>
    <w:rsid w:val="00D97B79"/>
    <w:rsid w:val="00DA0AEA"/>
    <w:rsid w:val="00DA2147"/>
    <w:rsid w:val="00DA299B"/>
    <w:rsid w:val="00DA3594"/>
    <w:rsid w:val="00DA3A5B"/>
    <w:rsid w:val="00DA4214"/>
    <w:rsid w:val="00DA439E"/>
    <w:rsid w:val="00DA4E73"/>
    <w:rsid w:val="00DA528B"/>
    <w:rsid w:val="00DA53BF"/>
    <w:rsid w:val="00DA564D"/>
    <w:rsid w:val="00DA56BA"/>
    <w:rsid w:val="00DA5ACF"/>
    <w:rsid w:val="00DA60CA"/>
    <w:rsid w:val="00DA749B"/>
    <w:rsid w:val="00DB0C27"/>
    <w:rsid w:val="00DB1E2F"/>
    <w:rsid w:val="00DB2B36"/>
    <w:rsid w:val="00DB2C37"/>
    <w:rsid w:val="00DB31A9"/>
    <w:rsid w:val="00DB39A4"/>
    <w:rsid w:val="00DB4E22"/>
    <w:rsid w:val="00DB58C3"/>
    <w:rsid w:val="00DB5E41"/>
    <w:rsid w:val="00DB749D"/>
    <w:rsid w:val="00DB7D38"/>
    <w:rsid w:val="00DC025F"/>
    <w:rsid w:val="00DC1820"/>
    <w:rsid w:val="00DC1A50"/>
    <w:rsid w:val="00DC2898"/>
    <w:rsid w:val="00DC4099"/>
    <w:rsid w:val="00DC45AA"/>
    <w:rsid w:val="00DC5974"/>
    <w:rsid w:val="00DC59C9"/>
    <w:rsid w:val="00DC5DA5"/>
    <w:rsid w:val="00DD05E0"/>
    <w:rsid w:val="00DD0D7C"/>
    <w:rsid w:val="00DD1776"/>
    <w:rsid w:val="00DD1852"/>
    <w:rsid w:val="00DD1CA9"/>
    <w:rsid w:val="00DD1EB7"/>
    <w:rsid w:val="00DD2C76"/>
    <w:rsid w:val="00DD3EFC"/>
    <w:rsid w:val="00DD62D0"/>
    <w:rsid w:val="00DD6B5F"/>
    <w:rsid w:val="00DE0DE3"/>
    <w:rsid w:val="00DE1FB3"/>
    <w:rsid w:val="00DE33D2"/>
    <w:rsid w:val="00DE3455"/>
    <w:rsid w:val="00DE616D"/>
    <w:rsid w:val="00DE7E1B"/>
    <w:rsid w:val="00DF0F56"/>
    <w:rsid w:val="00DF15AC"/>
    <w:rsid w:val="00DF22C0"/>
    <w:rsid w:val="00DF31F3"/>
    <w:rsid w:val="00DF43F2"/>
    <w:rsid w:val="00DF5ECB"/>
    <w:rsid w:val="00DF62C6"/>
    <w:rsid w:val="00DF74BA"/>
    <w:rsid w:val="00DF79E0"/>
    <w:rsid w:val="00E0229C"/>
    <w:rsid w:val="00E028A4"/>
    <w:rsid w:val="00E042F4"/>
    <w:rsid w:val="00E04790"/>
    <w:rsid w:val="00E0495B"/>
    <w:rsid w:val="00E04CE7"/>
    <w:rsid w:val="00E05FF5"/>
    <w:rsid w:val="00E06066"/>
    <w:rsid w:val="00E06C62"/>
    <w:rsid w:val="00E070EB"/>
    <w:rsid w:val="00E07B55"/>
    <w:rsid w:val="00E10DD5"/>
    <w:rsid w:val="00E11CD2"/>
    <w:rsid w:val="00E12BCC"/>
    <w:rsid w:val="00E13489"/>
    <w:rsid w:val="00E143F8"/>
    <w:rsid w:val="00E158F3"/>
    <w:rsid w:val="00E16195"/>
    <w:rsid w:val="00E16B2A"/>
    <w:rsid w:val="00E1700E"/>
    <w:rsid w:val="00E23412"/>
    <w:rsid w:val="00E23807"/>
    <w:rsid w:val="00E23909"/>
    <w:rsid w:val="00E239C6"/>
    <w:rsid w:val="00E24C62"/>
    <w:rsid w:val="00E26222"/>
    <w:rsid w:val="00E266BE"/>
    <w:rsid w:val="00E26ED7"/>
    <w:rsid w:val="00E27261"/>
    <w:rsid w:val="00E30A7D"/>
    <w:rsid w:val="00E319B2"/>
    <w:rsid w:val="00E321F0"/>
    <w:rsid w:val="00E32F33"/>
    <w:rsid w:val="00E337CC"/>
    <w:rsid w:val="00E33AC7"/>
    <w:rsid w:val="00E33CCC"/>
    <w:rsid w:val="00E36ADA"/>
    <w:rsid w:val="00E401A6"/>
    <w:rsid w:val="00E41A66"/>
    <w:rsid w:val="00E41D3A"/>
    <w:rsid w:val="00E42596"/>
    <w:rsid w:val="00E46079"/>
    <w:rsid w:val="00E4683F"/>
    <w:rsid w:val="00E52E83"/>
    <w:rsid w:val="00E52FDE"/>
    <w:rsid w:val="00E53FF7"/>
    <w:rsid w:val="00E54AEF"/>
    <w:rsid w:val="00E5560F"/>
    <w:rsid w:val="00E5581E"/>
    <w:rsid w:val="00E57DA0"/>
    <w:rsid w:val="00E60B2C"/>
    <w:rsid w:val="00E60BC7"/>
    <w:rsid w:val="00E60FF4"/>
    <w:rsid w:val="00E6245E"/>
    <w:rsid w:val="00E6375F"/>
    <w:rsid w:val="00E64171"/>
    <w:rsid w:val="00E64A1A"/>
    <w:rsid w:val="00E658D8"/>
    <w:rsid w:val="00E6796C"/>
    <w:rsid w:val="00E707DC"/>
    <w:rsid w:val="00E71601"/>
    <w:rsid w:val="00E73CC1"/>
    <w:rsid w:val="00E74071"/>
    <w:rsid w:val="00E74349"/>
    <w:rsid w:val="00E745C0"/>
    <w:rsid w:val="00E75142"/>
    <w:rsid w:val="00E7554C"/>
    <w:rsid w:val="00E762BB"/>
    <w:rsid w:val="00E765D9"/>
    <w:rsid w:val="00E77875"/>
    <w:rsid w:val="00E77C12"/>
    <w:rsid w:val="00E80500"/>
    <w:rsid w:val="00E80876"/>
    <w:rsid w:val="00E83592"/>
    <w:rsid w:val="00E86B03"/>
    <w:rsid w:val="00E87DA3"/>
    <w:rsid w:val="00E90215"/>
    <w:rsid w:val="00E9092D"/>
    <w:rsid w:val="00E90FBE"/>
    <w:rsid w:val="00E92130"/>
    <w:rsid w:val="00E929C3"/>
    <w:rsid w:val="00E92C7A"/>
    <w:rsid w:val="00E92E28"/>
    <w:rsid w:val="00E9331F"/>
    <w:rsid w:val="00E93823"/>
    <w:rsid w:val="00E93D71"/>
    <w:rsid w:val="00E9445C"/>
    <w:rsid w:val="00E949F8"/>
    <w:rsid w:val="00E9528A"/>
    <w:rsid w:val="00E964FA"/>
    <w:rsid w:val="00E975D6"/>
    <w:rsid w:val="00E97FE1"/>
    <w:rsid w:val="00EA08C7"/>
    <w:rsid w:val="00EA091F"/>
    <w:rsid w:val="00EA0B3B"/>
    <w:rsid w:val="00EA2043"/>
    <w:rsid w:val="00EA403E"/>
    <w:rsid w:val="00EA501C"/>
    <w:rsid w:val="00EA551A"/>
    <w:rsid w:val="00EA6D37"/>
    <w:rsid w:val="00EB37C9"/>
    <w:rsid w:val="00EB44D8"/>
    <w:rsid w:val="00EB4D9F"/>
    <w:rsid w:val="00EB7642"/>
    <w:rsid w:val="00EB77BE"/>
    <w:rsid w:val="00EC184F"/>
    <w:rsid w:val="00EC35DC"/>
    <w:rsid w:val="00EC4CB8"/>
    <w:rsid w:val="00EC5443"/>
    <w:rsid w:val="00EC733D"/>
    <w:rsid w:val="00EC7373"/>
    <w:rsid w:val="00EC7698"/>
    <w:rsid w:val="00EC7BDA"/>
    <w:rsid w:val="00ED1413"/>
    <w:rsid w:val="00ED2B2C"/>
    <w:rsid w:val="00ED36A2"/>
    <w:rsid w:val="00ED3796"/>
    <w:rsid w:val="00ED4949"/>
    <w:rsid w:val="00ED49C2"/>
    <w:rsid w:val="00ED6697"/>
    <w:rsid w:val="00EE0C19"/>
    <w:rsid w:val="00EE2434"/>
    <w:rsid w:val="00EE3973"/>
    <w:rsid w:val="00EE3B52"/>
    <w:rsid w:val="00EE4F90"/>
    <w:rsid w:val="00EE786D"/>
    <w:rsid w:val="00EE7C03"/>
    <w:rsid w:val="00EF01F9"/>
    <w:rsid w:val="00EF07B8"/>
    <w:rsid w:val="00EF1597"/>
    <w:rsid w:val="00EF3A46"/>
    <w:rsid w:val="00EF3D92"/>
    <w:rsid w:val="00EF5828"/>
    <w:rsid w:val="00EF5970"/>
    <w:rsid w:val="00EF5E42"/>
    <w:rsid w:val="00EF7DB2"/>
    <w:rsid w:val="00EF7EAC"/>
    <w:rsid w:val="00F00662"/>
    <w:rsid w:val="00F01D88"/>
    <w:rsid w:val="00F02259"/>
    <w:rsid w:val="00F04091"/>
    <w:rsid w:val="00F04ABE"/>
    <w:rsid w:val="00F05482"/>
    <w:rsid w:val="00F05E7F"/>
    <w:rsid w:val="00F0704B"/>
    <w:rsid w:val="00F076BC"/>
    <w:rsid w:val="00F07B88"/>
    <w:rsid w:val="00F105E5"/>
    <w:rsid w:val="00F108F5"/>
    <w:rsid w:val="00F125EA"/>
    <w:rsid w:val="00F12C6A"/>
    <w:rsid w:val="00F14680"/>
    <w:rsid w:val="00F14DA0"/>
    <w:rsid w:val="00F15586"/>
    <w:rsid w:val="00F156A1"/>
    <w:rsid w:val="00F179D5"/>
    <w:rsid w:val="00F20575"/>
    <w:rsid w:val="00F20712"/>
    <w:rsid w:val="00F208B8"/>
    <w:rsid w:val="00F233E4"/>
    <w:rsid w:val="00F23593"/>
    <w:rsid w:val="00F236E3"/>
    <w:rsid w:val="00F2529F"/>
    <w:rsid w:val="00F27AF1"/>
    <w:rsid w:val="00F30B09"/>
    <w:rsid w:val="00F30DB3"/>
    <w:rsid w:val="00F31612"/>
    <w:rsid w:val="00F32921"/>
    <w:rsid w:val="00F3354C"/>
    <w:rsid w:val="00F345E1"/>
    <w:rsid w:val="00F35C59"/>
    <w:rsid w:val="00F4378A"/>
    <w:rsid w:val="00F4580B"/>
    <w:rsid w:val="00F46D2C"/>
    <w:rsid w:val="00F474AE"/>
    <w:rsid w:val="00F506F9"/>
    <w:rsid w:val="00F51270"/>
    <w:rsid w:val="00F5156D"/>
    <w:rsid w:val="00F515C5"/>
    <w:rsid w:val="00F51D19"/>
    <w:rsid w:val="00F525BB"/>
    <w:rsid w:val="00F553A4"/>
    <w:rsid w:val="00F55544"/>
    <w:rsid w:val="00F5558D"/>
    <w:rsid w:val="00F555EC"/>
    <w:rsid w:val="00F55897"/>
    <w:rsid w:val="00F57BED"/>
    <w:rsid w:val="00F57FF2"/>
    <w:rsid w:val="00F6087E"/>
    <w:rsid w:val="00F611A5"/>
    <w:rsid w:val="00F61B54"/>
    <w:rsid w:val="00F64AA5"/>
    <w:rsid w:val="00F64DDB"/>
    <w:rsid w:val="00F709C4"/>
    <w:rsid w:val="00F70BE0"/>
    <w:rsid w:val="00F70BE5"/>
    <w:rsid w:val="00F724B8"/>
    <w:rsid w:val="00F73D88"/>
    <w:rsid w:val="00F74121"/>
    <w:rsid w:val="00F7534F"/>
    <w:rsid w:val="00F758B9"/>
    <w:rsid w:val="00F767A0"/>
    <w:rsid w:val="00F769DA"/>
    <w:rsid w:val="00F76F4A"/>
    <w:rsid w:val="00F77E9D"/>
    <w:rsid w:val="00F828C3"/>
    <w:rsid w:val="00F834E5"/>
    <w:rsid w:val="00F841C6"/>
    <w:rsid w:val="00F84C7F"/>
    <w:rsid w:val="00F852F6"/>
    <w:rsid w:val="00F854BB"/>
    <w:rsid w:val="00F85DBD"/>
    <w:rsid w:val="00F85FE1"/>
    <w:rsid w:val="00F8713B"/>
    <w:rsid w:val="00F879FB"/>
    <w:rsid w:val="00F90181"/>
    <w:rsid w:val="00F901E5"/>
    <w:rsid w:val="00F91D63"/>
    <w:rsid w:val="00F9298F"/>
    <w:rsid w:val="00F92BE5"/>
    <w:rsid w:val="00F92C05"/>
    <w:rsid w:val="00F92C18"/>
    <w:rsid w:val="00F9530B"/>
    <w:rsid w:val="00F9588B"/>
    <w:rsid w:val="00F96349"/>
    <w:rsid w:val="00F96C76"/>
    <w:rsid w:val="00F96E2F"/>
    <w:rsid w:val="00FA0109"/>
    <w:rsid w:val="00FA062E"/>
    <w:rsid w:val="00FA1F83"/>
    <w:rsid w:val="00FA21D3"/>
    <w:rsid w:val="00FA3D83"/>
    <w:rsid w:val="00FA4EE8"/>
    <w:rsid w:val="00FA4FA7"/>
    <w:rsid w:val="00FA6411"/>
    <w:rsid w:val="00FA66D7"/>
    <w:rsid w:val="00FB0DED"/>
    <w:rsid w:val="00FB124A"/>
    <w:rsid w:val="00FB3366"/>
    <w:rsid w:val="00FB436F"/>
    <w:rsid w:val="00FB6847"/>
    <w:rsid w:val="00FC04F8"/>
    <w:rsid w:val="00FC09FB"/>
    <w:rsid w:val="00FC0D95"/>
    <w:rsid w:val="00FC12FA"/>
    <w:rsid w:val="00FC26C6"/>
    <w:rsid w:val="00FC47DF"/>
    <w:rsid w:val="00FC4B3C"/>
    <w:rsid w:val="00FC5D0F"/>
    <w:rsid w:val="00FC7343"/>
    <w:rsid w:val="00FC7EDC"/>
    <w:rsid w:val="00FD15EE"/>
    <w:rsid w:val="00FD2199"/>
    <w:rsid w:val="00FD3315"/>
    <w:rsid w:val="00FD459F"/>
    <w:rsid w:val="00FD58D5"/>
    <w:rsid w:val="00FD5A34"/>
    <w:rsid w:val="00FD5C14"/>
    <w:rsid w:val="00FD6059"/>
    <w:rsid w:val="00FD7D88"/>
    <w:rsid w:val="00FE0B7E"/>
    <w:rsid w:val="00FE2AB3"/>
    <w:rsid w:val="00FE44F1"/>
    <w:rsid w:val="00FE4579"/>
    <w:rsid w:val="00FE4C75"/>
    <w:rsid w:val="00FE6207"/>
    <w:rsid w:val="00FE67AC"/>
    <w:rsid w:val="00FE6844"/>
    <w:rsid w:val="00FE794C"/>
    <w:rsid w:val="00FF0235"/>
    <w:rsid w:val="00FF09BE"/>
    <w:rsid w:val="00FF27E8"/>
    <w:rsid w:val="00FF28CC"/>
    <w:rsid w:val="00FF41A9"/>
    <w:rsid w:val="00FF4A8E"/>
    <w:rsid w:val="00FF5196"/>
    <w:rsid w:val="00FF61A2"/>
    <w:rsid w:val="00FF65E8"/>
    <w:rsid w:val="01583748"/>
    <w:rsid w:val="029C58B6"/>
    <w:rsid w:val="02E234DD"/>
    <w:rsid w:val="02FB6CDA"/>
    <w:rsid w:val="049A7BD3"/>
    <w:rsid w:val="077961C6"/>
    <w:rsid w:val="09297778"/>
    <w:rsid w:val="09722ECD"/>
    <w:rsid w:val="09DC7CD3"/>
    <w:rsid w:val="108D4A90"/>
    <w:rsid w:val="1184122C"/>
    <w:rsid w:val="12D40754"/>
    <w:rsid w:val="13501ACC"/>
    <w:rsid w:val="142418B8"/>
    <w:rsid w:val="154020D1"/>
    <w:rsid w:val="16094BB9"/>
    <w:rsid w:val="16563C35"/>
    <w:rsid w:val="1B351FAC"/>
    <w:rsid w:val="1B9413C8"/>
    <w:rsid w:val="1BC44D83"/>
    <w:rsid w:val="1BFC2ACA"/>
    <w:rsid w:val="1C1918CE"/>
    <w:rsid w:val="1C894B2C"/>
    <w:rsid w:val="1FE83A91"/>
    <w:rsid w:val="219E37A0"/>
    <w:rsid w:val="242242BB"/>
    <w:rsid w:val="26094761"/>
    <w:rsid w:val="26945303"/>
    <w:rsid w:val="271C2272"/>
    <w:rsid w:val="27FF5E1C"/>
    <w:rsid w:val="280A16BF"/>
    <w:rsid w:val="283C7070"/>
    <w:rsid w:val="29257B04"/>
    <w:rsid w:val="2955733F"/>
    <w:rsid w:val="2AB4113F"/>
    <w:rsid w:val="2BFD2672"/>
    <w:rsid w:val="2CAA34BC"/>
    <w:rsid w:val="2D151C3D"/>
    <w:rsid w:val="2D5D2702"/>
    <w:rsid w:val="36590DED"/>
    <w:rsid w:val="382673F4"/>
    <w:rsid w:val="386B4E07"/>
    <w:rsid w:val="39074B30"/>
    <w:rsid w:val="39A131D7"/>
    <w:rsid w:val="3E036536"/>
    <w:rsid w:val="3E7C38CA"/>
    <w:rsid w:val="3F375A43"/>
    <w:rsid w:val="3F47212A"/>
    <w:rsid w:val="3FC512A1"/>
    <w:rsid w:val="42015BE7"/>
    <w:rsid w:val="426A6ADF"/>
    <w:rsid w:val="439F59EA"/>
    <w:rsid w:val="461A77FE"/>
    <w:rsid w:val="475950F1"/>
    <w:rsid w:val="4B5C0D0B"/>
    <w:rsid w:val="500A342C"/>
    <w:rsid w:val="508B3E41"/>
    <w:rsid w:val="560B3A5A"/>
    <w:rsid w:val="56737851"/>
    <w:rsid w:val="57C540DC"/>
    <w:rsid w:val="589F492D"/>
    <w:rsid w:val="5C1967A5"/>
    <w:rsid w:val="5D1D22C5"/>
    <w:rsid w:val="5D9635FF"/>
    <w:rsid w:val="5E7B54F5"/>
    <w:rsid w:val="60A32A5F"/>
    <w:rsid w:val="63584057"/>
    <w:rsid w:val="669742EA"/>
    <w:rsid w:val="695D70C6"/>
    <w:rsid w:val="6C400A9D"/>
    <w:rsid w:val="6D627806"/>
    <w:rsid w:val="6E14734C"/>
    <w:rsid w:val="6E4E0530"/>
    <w:rsid w:val="6E6715F2"/>
    <w:rsid w:val="6EC701F6"/>
    <w:rsid w:val="6F806E0F"/>
    <w:rsid w:val="71C033AA"/>
    <w:rsid w:val="734B3290"/>
    <w:rsid w:val="76D57A40"/>
    <w:rsid w:val="773E47C6"/>
    <w:rsid w:val="77E67A2B"/>
    <w:rsid w:val="780600CD"/>
    <w:rsid w:val="78F32400"/>
    <w:rsid w:val="79346574"/>
    <w:rsid w:val="797B41A3"/>
    <w:rsid w:val="7E582D05"/>
    <w:rsid w:val="7F21759B"/>
    <w:rsid w:val="7F48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楷体_GB2312"/>
      <w:sz w:val="28"/>
    </w:rPr>
  </w:style>
  <w:style w:type="paragraph" w:styleId="3">
    <w:name w:val="annotation text"/>
    <w:basedOn w:val="1"/>
    <w:link w:val="16"/>
    <w:qFormat/>
    <w:uiPriority w:val="99"/>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99"/>
    <w:rPr>
      <w:sz w:val="21"/>
      <w:szCs w:val="21"/>
    </w:rPr>
  </w:style>
  <w:style w:type="paragraph" w:customStyle="1" w:styleId="12">
    <w:name w:val="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3">
    <w:name w:val="页眉 字符"/>
    <w:link w:val="6"/>
    <w:qFormat/>
    <w:uiPriority w:val="0"/>
    <w:rPr>
      <w:kern w:val="2"/>
      <w:sz w:val="18"/>
      <w:szCs w:val="18"/>
    </w:rPr>
  </w:style>
  <w:style w:type="character" w:customStyle="1" w:styleId="14">
    <w:name w:val="页脚 字符1"/>
    <w:link w:val="5"/>
    <w:qFormat/>
    <w:uiPriority w:val="0"/>
    <w:rPr>
      <w:kern w:val="2"/>
      <w:sz w:val="18"/>
      <w:szCs w:val="18"/>
    </w:rPr>
  </w:style>
  <w:style w:type="character" w:customStyle="1" w:styleId="15">
    <w:name w:val="页脚 字符"/>
    <w:qFormat/>
    <w:uiPriority w:val="99"/>
  </w:style>
  <w:style w:type="character" w:customStyle="1" w:styleId="16">
    <w:name w:val="批注文字 字符"/>
    <w:basedOn w:val="10"/>
    <w:link w:val="3"/>
    <w:qFormat/>
    <w:uiPriority w:val="99"/>
    <w:rPr>
      <w:kern w:val="2"/>
      <w:sz w:val="21"/>
      <w:szCs w:val="24"/>
    </w:rPr>
  </w:style>
  <w:style w:type="character" w:customStyle="1" w:styleId="17">
    <w:name w:val="批注主题 字符"/>
    <w:basedOn w:val="16"/>
    <w:link w:val="7"/>
    <w:qFormat/>
    <w:uiPriority w:val="0"/>
    <w:rPr>
      <w:b/>
      <w:bCs/>
      <w:kern w:val="2"/>
      <w:sz w:val="21"/>
      <w:szCs w:val="24"/>
    </w:rPr>
  </w:style>
  <w:style w:type="paragraph" w:styleId="18">
    <w:name w:val="List Paragraph"/>
    <w:basedOn w:val="1"/>
    <w:qFormat/>
    <w:uiPriority w:val="34"/>
    <w:pPr>
      <w:ind w:firstLine="420" w:firstLineChars="200"/>
    </w:pPr>
  </w:style>
  <w:style w:type="table" w:customStyle="1" w:styleId="19">
    <w:name w:val="网格型1"/>
    <w:basedOn w:val="8"/>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1">
    <w:name w:val="网格型2"/>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005表格后正文"/>
    <w:link w:val="23"/>
    <w:qFormat/>
    <w:uiPriority w:val="0"/>
    <w:pPr>
      <w:widowControl w:val="0"/>
      <w:spacing w:before="50" w:beforeLines="50"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23">
    <w:name w:val="005表格后正文 Char"/>
    <w:link w:val="22"/>
    <w:qFormat/>
    <w:uiPriority w:val="0"/>
    <w:rPr>
      <w:rFonts w:ascii="Times New Roman" w:hAnsi="Times New Roman" w:eastAsia="宋体" w:cs="Times New Roman"/>
      <w:sz w:val="24"/>
      <w:szCs w:val="24"/>
    </w:rPr>
  </w:style>
  <w:style w:type="paragraph" w:customStyle="1" w:styleId="24">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A1B9-AD37-4764-8DFE-8C0A06909099}">
  <ds:schemaRefs/>
</ds:datastoreItem>
</file>

<file path=docProps/app.xml><?xml version="1.0" encoding="utf-8"?>
<Properties xmlns="http://schemas.openxmlformats.org/officeDocument/2006/extended-properties" xmlns:vt="http://schemas.openxmlformats.org/officeDocument/2006/docPropsVTypes">
  <Template>Normal.dotm</Template>
  <Company>debon</Company>
  <Pages>4</Pages>
  <Words>4721</Words>
  <Characters>4892</Characters>
  <Lines>35</Lines>
  <Paragraphs>10</Paragraphs>
  <TotalTime>28</TotalTime>
  <ScaleCrop>false</ScaleCrop>
  <LinksUpToDate>false</LinksUpToDate>
  <CharactersWithSpaces>4952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2025-01-24T03:21:00Z</dcterms:created>
  <dc:creator>博隆技术</dc:creator>
  <cp:lastModifiedBy>林佳琪</cp:lastModifiedBy>
  <cp:lastPrinted>2009-06-22T07:04:00Z</cp:lastPrinted>
  <dcterms:modified xsi:type="dcterms:W3CDTF">2025-12-31T08:54:48Z</dcterms:modified>
  <cp:revision>711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eyJoZGlkIjoiYTQ3NWM1M2NjMzUyOTM5YzMwNzU3ZjdiODQ4NGIxMWUiLCJ1c2VySWQiOiIyMTUwMzE5NjUifQ==</vt:lpwstr>
  </property>
  <property fmtid="{D5CDD505-2E9C-101B-9397-08002B2CF9AE}" pid="4" name="ICV">
    <vt:lpwstr>AB6541D115FC4A419982ADBDA83A4B9B_12</vt:lpwstr>
  </property>
</Properties>
</file>