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20" w:lineRule="exact"/>
        <w:rPr>
          <w:rFonts w:ascii="方正小标宋简体" w:hAnsi="宋体" w:eastAsia="方正小标宋简体"/>
          <w:bCs/>
          <w:iCs/>
          <w:szCs w:val="21"/>
        </w:rPr>
      </w:pPr>
      <w:r>
        <w:rPr>
          <w:rFonts w:hint="eastAsia" w:ascii="方正小标宋简体" w:hAnsi="宋体" w:eastAsia="方正小标宋简体"/>
          <w:bCs/>
          <w:iCs/>
          <w:szCs w:val="21"/>
        </w:rPr>
        <w:t>证券代码：600880                                              证券简称：博瑞传播</w:t>
      </w:r>
    </w:p>
    <w:p>
      <w:pPr>
        <w:spacing w:beforeLines="50"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 w:val="24"/>
          <w:lang w:val="en-US" w:eastAsia="zh-CN"/>
        </w:rPr>
        <w:t xml:space="preserve"> </w:t>
      </w:r>
      <w:r>
        <w:rPr>
          <w:rFonts w:hint="eastAsia" w:ascii="宋体" w:hAnsi="宋体"/>
          <w:bCs/>
          <w:iCs/>
          <w:szCs w:val="21"/>
        </w:rPr>
        <w:t>编号：</w:t>
      </w:r>
      <w:r>
        <w:rPr>
          <w:rFonts w:hint="eastAsia" w:ascii="宋体" w:hAnsi="宋体"/>
          <w:bCs/>
          <w:iCs/>
          <w:szCs w:val="21"/>
          <w:lang w:val="en-US" w:eastAsia="zh-CN"/>
        </w:rPr>
        <w:t>2026-001</w:t>
      </w: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748" w:type="dxa"/>
            <w:shd w:val="clear" w:color="auto" w:fill="auto"/>
          </w:tcPr>
          <w:p>
            <w:pPr>
              <w:spacing w:line="520" w:lineRule="exact"/>
              <w:rPr>
                <w:szCs w:val="21"/>
              </w:rPr>
            </w:pPr>
            <w:r>
              <w:rPr>
                <w:rFonts w:hint="eastAsia"/>
                <w:szCs w:val="21"/>
              </w:rPr>
              <w:sym w:font="Wingdings 2" w:char="00A3"/>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□媒体采访      □</w:t>
            </w:r>
            <w:r>
              <w:rPr>
                <w:rFonts w:hint="eastAsia"/>
                <w:szCs w:val="21"/>
                <w:lang w:val="en-US" w:eastAsia="zh-CN"/>
              </w:rPr>
              <w:t>投资者</w:t>
            </w:r>
            <w:r>
              <w:rPr>
                <w:rFonts w:hint="eastAsia"/>
                <w:szCs w:val="21"/>
              </w:rPr>
              <w:t>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w:t>
            </w:r>
            <w:r>
              <w:rPr>
                <w:rFonts w:hint="eastAsia"/>
                <w:szCs w:val="21"/>
              </w:rPr>
              <w:sym w:font="Wingdings 2" w:char="0052"/>
            </w:r>
            <w:r>
              <w:rPr>
                <w:rFonts w:hint="eastAsia"/>
                <w:szCs w:val="21"/>
              </w:rPr>
              <w:t>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67" w:type="dxa"/>
            <w:shd w:val="clear" w:color="auto" w:fill="auto"/>
            <w:vAlign w:val="center"/>
          </w:tcPr>
          <w:p>
            <w:pPr>
              <w:spacing w:line="520" w:lineRule="exact"/>
              <w:rPr>
                <w:rFonts w:hint="eastAsia"/>
                <w:lang w:val="en-US" w:eastAsia="zh-CN"/>
              </w:rPr>
            </w:pPr>
            <w:r>
              <w:rPr>
                <w:rFonts w:hint="eastAsia"/>
                <w:lang w:val="en-US" w:eastAsia="zh-CN"/>
              </w:rPr>
              <w:t>参与单位名称及</w:t>
            </w:r>
          </w:p>
          <w:p>
            <w:pPr>
              <w:spacing w:line="520" w:lineRule="exact"/>
              <w:rPr>
                <w:rFonts w:hint="eastAsia"/>
                <w:lang w:val="en-US" w:eastAsia="zh-CN"/>
              </w:rPr>
            </w:pPr>
            <w:r>
              <w:rPr>
                <w:rFonts w:hint="eastAsia"/>
                <w:lang w:val="en-US" w:eastAsia="zh-CN"/>
              </w:rPr>
              <w:t>人员姓名</w:t>
            </w:r>
          </w:p>
        </w:tc>
        <w:tc>
          <w:tcPr>
            <w:tcW w:w="7748" w:type="dxa"/>
            <w:shd w:val="clear" w:color="auto" w:fill="auto"/>
          </w:tcPr>
          <w:p>
            <w:pPr>
              <w:spacing w:line="520" w:lineRule="exact"/>
              <w:rPr>
                <w:rFonts w:hint="eastAsia"/>
                <w:lang w:val="en-US" w:eastAsia="zh-CN"/>
              </w:rPr>
            </w:pPr>
            <w:r>
              <w:rPr>
                <w:rFonts w:hint="default"/>
                <w:lang w:val="en-US" w:eastAsia="zh-CN"/>
              </w:rPr>
              <w:t>天风证券-刘欣、天风证券-陈萧宇、名禹资产</w:t>
            </w:r>
            <w:r>
              <w:rPr>
                <w:rFonts w:hint="eastAsia"/>
                <w:lang w:val="en-US" w:eastAsia="zh-CN"/>
              </w:rPr>
              <w:t>-</w:t>
            </w:r>
            <w:r>
              <w:rPr>
                <w:rFonts w:hint="default"/>
                <w:lang w:val="en-US" w:eastAsia="zh-CN"/>
              </w:rPr>
              <w:t>刘宝军</w:t>
            </w:r>
            <w:r>
              <w:rPr>
                <w:rFonts w:hint="eastAsia"/>
                <w:lang w:val="en-US" w:eastAsia="zh-CN"/>
              </w:rPr>
              <w:t>、</w:t>
            </w:r>
            <w:r>
              <w:rPr>
                <w:rFonts w:hint="default"/>
                <w:lang w:val="en-US" w:eastAsia="zh-CN"/>
              </w:rPr>
              <w:t>成泉资本-张梦圆、泰康基金-翟一柠、宝盈基金-刘凯</w:t>
            </w:r>
            <w:r>
              <w:rPr>
                <w:rFonts w:hint="eastAsia"/>
                <w:lang w:val="en-US" w:eastAsia="zh-CN"/>
              </w:rPr>
              <w:t>、复胜资产-马晋隆、创金合信基金-梁雪、中航基金-高丰臣、长江养老-刘堃、建信基金-杨荔媛、翎展资本-邵琮元、摩根基金-李昂、和谐汇一-章溢漫、天风证券-汪子杰、摩根基金-张晓冬、信诚资管-段又茵、弥远投资-许鹏飞、国联安基金-苗瑜、安信基金-陈明江、华安基金-计宇诚、东莞资管-陈曦阳、</w:t>
            </w:r>
          </w:p>
          <w:p>
            <w:pPr>
              <w:spacing w:line="520" w:lineRule="exact"/>
              <w:rPr>
                <w:rFonts w:hint="default"/>
                <w:lang w:val="en-US" w:eastAsia="zh-CN"/>
              </w:rPr>
            </w:pPr>
            <w:r>
              <w:rPr>
                <w:rFonts w:hint="default"/>
                <w:lang w:val="en-US" w:eastAsia="zh-CN"/>
              </w:rPr>
              <w:t>博时基金</w:t>
            </w:r>
            <w:r>
              <w:rPr>
                <w:rFonts w:hint="eastAsia"/>
                <w:lang w:val="en-US" w:eastAsia="zh-CN"/>
              </w:rPr>
              <w:t>-胡康、望正资产-马力、长江养老-朱勇胜、浦银安盛-范军、博时基金-李绮雯、信泰保险-齐津、益恒投资-田黄达、国寿资产-孙聪、国金基金-杨凯雯、中银基金-崔凡平、新华资产-李政兴、中加基金-李宁宁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2026年1月6日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748" w:type="dxa"/>
            <w:shd w:val="clear" w:color="auto" w:fill="auto"/>
          </w:tcPr>
          <w:p>
            <w:pPr>
              <w:spacing w:line="520" w:lineRule="exact"/>
              <w:rPr>
                <w:rFonts w:hint="eastAsia" w:ascii="宋体" w:hAnsi="宋体"/>
                <w:bCs/>
                <w:iCs/>
                <w:szCs w:val="21"/>
                <w:lang w:val="en-US" w:eastAsia="zh-CN"/>
              </w:rPr>
            </w:pPr>
            <w:r>
              <w:rPr>
                <w:rFonts w:hint="eastAsia" w:ascii="宋体" w:hAnsi="宋体"/>
                <w:bCs/>
                <w:iCs/>
                <w:szCs w:val="21"/>
                <w:lang w:val="en-US" w:eastAsia="zh-CN"/>
              </w:rPr>
              <w:t>博瑞传播董事会秘书-苟军</w:t>
            </w:r>
          </w:p>
          <w:p>
            <w:pPr>
              <w:spacing w:line="520" w:lineRule="exact"/>
              <w:rPr>
                <w:rFonts w:hint="eastAsia" w:ascii="宋体" w:hAnsi="宋体"/>
                <w:bCs/>
                <w:iCs/>
                <w:szCs w:val="21"/>
                <w:lang w:val="en-US" w:eastAsia="zh-CN"/>
              </w:rPr>
            </w:pPr>
            <w:r>
              <w:rPr>
                <w:rFonts w:hint="eastAsia" w:ascii="宋体" w:hAnsi="宋体"/>
                <w:bCs/>
                <w:iCs/>
                <w:szCs w:val="21"/>
                <w:lang w:val="en-US" w:eastAsia="zh-CN"/>
              </w:rPr>
              <w:t>每经研究院院长-黄晓义</w:t>
            </w:r>
          </w:p>
          <w:p>
            <w:pPr>
              <w:spacing w:line="520" w:lineRule="exact"/>
              <w:rPr>
                <w:rFonts w:hint="eastAsia" w:ascii="宋体" w:hAnsi="宋体"/>
                <w:bCs/>
                <w:iCs/>
                <w:szCs w:val="21"/>
                <w:lang w:val="en-US" w:eastAsia="zh-CN"/>
              </w:rPr>
            </w:pPr>
            <w:r>
              <w:rPr>
                <w:rFonts w:hint="eastAsia" w:ascii="宋体" w:hAnsi="宋体"/>
                <w:bCs/>
                <w:iCs/>
                <w:szCs w:val="21"/>
                <w:lang w:val="en-US" w:eastAsia="zh-CN"/>
              </w:rPr>
              <w:t>每经科技副总首席产品官-岳琦</w:t>
            </w:r>
          </w:p>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证券事务代表-王薇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748" w:type="dxa"/>
            <w:shd w:val="clear" w:color="auto" w:fill="auto"/>
          </w:tcPr>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w:t>
            </w:r>
            <w:r>
              <w:rPr>
                <w:rFonts w:hint="eastAsia" w:ascii="宋体" w:hAnsi="宋体" w:eastAsia="宋体" w:cs="宋体"/>
                <w:b/>
                <w:sz w:val="21"/>
                <w:szCs w:val="21"/>
                <w:lang w:val="en-US" w:eastAsia="zh-CN"/>
              </w:rPr>
              <w:t>每经科技</w:t>
            </w:r>
            <w:r>
              <w:rPr>
                <w:rFonts w:hint="eastAsia" w:ascii="宋体" w:hAnsi="宋体" w:eastAsia="宋体" w:cs="宋体"/>
                <w:b/>
                <w:sz w:val="21"/>
                <w:szCs w:val="21"/>
              </w:rPr>
              <w:t>公司目前在AI领域的技术研发进展如何？</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lang w:val="en-US" w:eastAsia="zh-CN"/>
              </w:rPr>
              <w:t>每经科技</w:t>
            </w:r>
            <w:r>
              <w:rPr>
                <w:rFonts w:hint="eastAsia" w:ascii="宋体" w:hAnsi="宋体" w:eastAsia="宋体" w:cs="宋体"/>
                <w:sz w:val="21"/>
                <w:szCs w:val="21"/>
              </w:rPr>
              <w:t>AI业务聚焦企业级AI应用赛道，不做底层大模型研发</w:t>
            </w:r>
            <w:r>
              <w:rPr>
                <w:rFonts w:hint="eastAsia" w:ascii="宋体" w:hAnsi="宋体" w:eastAsia="宋体" w:cs="宋体"/>
                <w:sz w:val="21"/>
                <w:szCs w:val="21"/>
                <w:lang w:eastAsia="zh-CN"/>
              </w:rPr>
              <w:t>，因</w:t>
            </w:r>
            <w:r>
              <w:rPr>
                <w:rFonts w:hint="eastAsia" w:ascii="宋体" w:hAnsi="宋体" w:eastAsia="宋体" w:cs="宋体"/>
                <w:sz w:val="21"/>
                <w:szCs w:val="21"/>
                <w:lang w:val="en-US" w:eastAsia="zh-CN"/>
              </w:rPr>
              <w:t>为底层大模型</w:t>
            </w:r>
            <w:r>
              <w:rPr>
                <w:rFonts w:hint="eastAsia" w:ascii="宋体" w:hAnsi="宋体" w:eastAsia="宋体" w:cs="宋体"/>
                <w:sz w:val="21"/>
                <w:szCs w:val="21"/>
                <w:lang w:eastAsia="zh-CN"/>
              </w:rPr>
              <w:t>投入大</w:t>
            </w:r>
            <w:r>
              <w:rPr>
                <w:rFonts w:hint="eastAsia" w:ascii="宋体" w:hAnsi="宋体" w:eastAsia="宋体" w:cs="宋体"/>
                <w:sz w:val="21"/>
                <w:szCs w:val="21"/>
                <w:lang w:val="en-US" w:eastAsia="zh-CN"/>
              </w:rPr>
              <w:t>且</w:t>
            </w:r>
            <w:r>
              <w:rPr>
                <w:rFonts w:hint="eastAsia" w:ascii="宋体" w:hAnsi="宋体" w:eastAsia="宋体" w:cs="宋体"/>
                <w:sz w:val="21"/>
                <w:szCs w:val="21"/>
                <w:lang w:eastAsia="zh-CN"/>
              </w:rPr>
              <w:t>市场格局已清晰</w:t>
            </w:r>
            <w:r>
              <w:rPr>
                <w:rFonts w:hint="eastAsia" w:ascii="宋体" w:hAnsi="宋体" w:eastAsia="宋体" w:cs="宋体"/>
                <w:sz w:val="21"/>
                <w:szCs w:val="21"/>
              </w:rPr>
              <w:t>，</w:t>
            </w:r>
            <w:r>
              <w:rPr>
                <w:rFonts w:hint="eastAsia" w:ascii="宋体" w:hAnsi="宋体" w:eastAsia="宋体" w:cs="宋体"/>
                <w:sz w:val="21"/>
                <w:szCs w:val="21"/>
                <w:lang w:val="en-US" w:eastAsia="zh-CN"/>
              </w:rPr>
              <w:t>所以</w:t>
            </w:r>
            <w:r>
              <w:rPr>
                <w:rFonts w:hint="eastAsia" w:ascii="宋体" w:hAnsi="宋体" w:eastAsia="宋体" w:cs="宋体"/>
                <w:sz w:val="21"/>
                <w:szCs w:val="21"/>
              </w:rPr>
              <w:t>重点布局AI应用层面及垂直类专用大模型研发，目前正在向网信办申请专用垂直大模型的备案流程。产品设计会调用市场通用大模型做调优测试，根据功能需求选择最适合的模型构建产品体系。客户覆盖金融、政府、上市公司、媒体四类，当前企业对AI的接受度显著提升，金融客户接受度最高，媒体客户近期也开始更多使用AI产品赋能。</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Q：主打产品雨燕智宣的商业化落地情况、技术结合点及对</w:t>
            </w:r>
            <w:r>
              <w:rPr>
                <w:rFonts w:hint="eastAsia" w:ascii="宋体" w:hAnsi="宋体" w:eastAsia="宋体" w:cs="宋体"/>
                <w:b/>
                <w:sz w:val="21"/>
                <w:szCs w:val="21"/>
                <w:lang w:val="en-US" w:eastAsia="zh-CN"/>
              </w:rPr>
              <w:t>每经科技</w:t>
            </w:r>
            <w:r>
              <w:rPr>
                <w:rFonts w:hint="eastAsia" w:ascii="宋体" w:hAnsi="宋体" w:eastAsia="宋体" w:cs="宋体"/>
                <w:b/>
                <w:sz w:val="21"/>
                <w:szCs w:val="21"/>
              </w:rPr>
              <w:t>未来经营的影响如何？</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雨燕智宣已从短视频生成平台迭代为</w:t>
            </w:r>
            <w:r>
              <w:rPr>
                <w:rFonts w:hint="eastAsia" w:ascii="宋体" w:hAnsi="宋体" w:eastAsia="宋体" w:cs="宋体"/>
                <w:sz w:val="21"/>
                <w:szCs w:val="21"/>
                <w:lang w:val="en-US" w:eastAsia="zh-CN"/>
              </w:rPr>
              <w:t>智</w:t>
            </w:r>
            <w:r>
              <w:rPr>
                <w:rFonts w:hint="eastAsia" w:ascii="宋体" w:hAnsi="宋体" w:eastAsia="宋体" w:cs="宋体"/>
                <w:sz w:val="21"/>
                <w:szCs w:val="21"/>
              </w:rPr>
              <w:t>创传播平台，从热点</w:t>
            </w:r>
            <w:r>
              <w:rPr>
                <w:rFonts w:hint="eastAsia" w:ascii="宋体" w:hAnsi="宋体" w:eastAsia="宋体" w:cs="宋体"/>
                <w:sz w:val="21"/>
                <w:szCs w:val="21"/>
                <w:lang w:val="en-US" w:eastAsia="zh-CN"/>
              </w:rPr>
              <w:t>选题</w:t>
            </w:r>
            <w:r>
              <w:rPr>
                <w:rFonts w:hint="eastAsia" w:ascii="宋体" w:hAnsi="宋体" w:eastAsia="宋体" w:cs="宋体"/>
                <w:sz w:val="21"/>
                <w:szCs w:val="21"/>
              </w:rPr>
              <w:t>、</w:t>
            </w:r>
            <w:r>
              <w:rPr>
                <w:rFonts w:hint="eastAsia" w:ascii="宋体" w:hAnsi="宋体" w:eastAsia="宋体" w:cs="宋体"/>
                <w:sz w:val="21"/>
                <w:szCs w:val="21"/>
                <w:lang w:val="en-US" w:eastAsia="zh-CN"/>
              </w:rPr>
              <w:t>图文创作</w:t>
            </w:r>
            <w:r>
              <w:rPr>
                <w:rFonts w:hint="eastAsia" w:ascii="宋体" w:hAnsi="宋体" w:eastAsia="宋体" w:cs="宋体"/>
                <w:sz w:val="21"/>
                <w:szCs w:val="21"/>
              </w:rPr>
              <w:t>、短视频</w:t>
            </w:r>
            <w:r>
              <w:rPr>
                <w:rFonts w:hint="eastAsia" w:ascii="宋体" w:hAnsi="宋体" w:eastAsia="宋体" w:cs="宋体"/>
                <w:sz w:val="21"/>
                <w:szCs w:val="21"/>
                <w:lang w:val="en-US" w:eastAsia="zh-CN"/>
              </w:rPr>
              <w:t>生产</w:t>
            </w:r>
            <w:r>
              <w:rPr>
                <w:rFonts w:hint="eastAsia" w:ascii="宋体" w:hAnsi="宋体" w:eastAsia="宋体" w:cs="宋体"/>
                <w:sz w:val="21"/>
                <w:szCs w:val="21"/>
              </w:rPr>
              <w:t>到一键分发的全流程覆盖产品体系，采用积木式设计，可整体方案销售或拆分模块销售。客户覆盖金融、媒体、政府等，接受度良好。</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w:t>
            </w:r>
            <w:r>
              <w:rPr>
                <w:rFonts w:hint="eastAsia" w:ascii="宋体" w:hAnsi="宋体" w:eastAsia="宋体" w:cs="宋体"/>
                <w:b/>
                <w:sz w:val="21"/>
                <w:szCs w:val="21"/>
                <w:lang w:val="en-US" w:eastAsia="zh-CN"/>
              </w:rPr>
              <w:t>每经科技</w:t>
            </w:r>
            <w:r>
              <w:rPr>
                <w:rFonts w:hint="eastAsia" w:ascii="宋体" w:hAnsi="宋体" w:eastAsia="宋体" w:cs="宋体"/>
                <w:b/>
                <w:sz w:val="21"/>
                <w:szCs w:val="21"/>
              </w:rPr>
              <w:t>公司</w:t>
            </w:r>
            <w:r>
              <w:rPr>
                <w:rFonts w:hint="eastAsia" w:ascii="宋体" w:hAnsi="宋体" w:eastAsia="宋体" w:cs="宋体"/>
                <w:b/>
                <w:sz w:val="21"/>
                <w:szCs w:val="21"/>
                <w:lang w:val="en-US" w:eastAsia="zh-CN"/>
              </w:rPr>
              <w:t>GEO</w:t>
            </w:r>
            <w:r>
              <w:rPr>
                <w:rFonts w:hint="eastAsia" w:ascii="宋体" w:hAnsi="宋体" w:eastAsia="宋体" w:cs="宋体"/>
                <w:b/>
                <w:sz w:val="21"/>
                <w:szCs w:val="21"/>
              </w:rPr>
              <w:t>业务的商业化路径有哪些？</w:t>
            </w:r>
          </w:p>
          <w:p>
            <w:pPr>
              <w:spacing w:before="120" w:after="120" w:line="288" w:lineRule="auto"/>
              <w:ind w:left="0"/>
              <w:jc w:val="left"/>
              <w:rPr>
                <w:rFonts w:hint="eastAsia" w:ascii="宋体" w:hAnsi="宋体" w:eastAsia="宋体" w:cs="宋体"/>
                <w:sz w:val="21"/>
                <w:szCs w:val="21"/>
                <w:lang w:val="en-US" w:eastAsia="zh-CN"/>
              </w:rPr>
            </w:pPr>
            <w:r>
              <w:rPr>
                <w:rFonts w:hint="eastAsia" w:ascii="宋体" w:hAnsi="宋体" w:eastAsia="宋体" w:cs="宋体"/>
                <w:b/>
                <w:sz w:val="21"/>
                <w:szCs w:val="21"/>
              </w:rPr>
              <w:t>A：</w:t>
            </w:r>
            <w:r>
              <w:rPr>
                <w:rFonts w:hint="eastAsia" w:ascii="宋体" w:hAnsi="宋体" w:eastAsia="宋体" w:cs="宋体"/>
                <w:sz w:val="21"/>
                <w:szCs w:val="21"/>
              </w:rPr>
              <w:t>市场上主流的</w:t>
            </w:r>
            <w:r>
              <w:rPr>
                <w:rFonts w:hint="eastAsia" w:ascii="宋体" w:hAnsi="宋体" w:eastAsia="宋体" w:cs="宋体"/>
                <w:sz w:val="21"/>
                <w:szCs w:val="21"/>
                <w:lang w:val="en-US" w:eastAsia="zh-CN"/>
              </w:rPr>
              <w:t>GEO</w:t>
            </w:r>
            <w:r>
              <w:rPr>
                <w:rFonts w:hint="eastAsia" w:ascii="宋体" w:hAnsi="宋体" w:eastAsia="宋体" w:cs="宋体"/>
                <w:sz w:val="21"/>
                <w:szCs w:val="21"/>
              </w:rPr>
              <w:t>商业化路径</w:t>
            </w:r>
            <w:r>
              <w:rPr>
                <w:rFonts w:hint="eastAsia" w:ascii="宋体" w:hAnsi="宋体" w:eastAsia="宋体" w:cs="宋体"/>
                <w:sz w:val="21"/>
                <w:szCs w:val="21"/>
                <w:lang w:val="en-US" w:eastAsia="zh-CN"/>
              </w:rPr>
              <w:t>以满足提升 AI 推荐率的营销需求为主，按照主题词和AI推荐持续时间收费。这类路径大多使用大量发文的</w:t>
            </w:r>
            <w:r>
              <w:rPr>
                <w:rFonts w:hint="eastAsia" w:ascii="宋体" w:hAnsi="宋体" w:eastAsia="宋体" w:cs="宋体"/>
                <w:sz w:val="21"/>
                <w:szCs w:val="21"/>
              </w:rPr>
              <w:t>水军模式，通过大量非专业、无权威度的个人账号内容污染</w:t>
            </w:r>
            <w:r>
              <w:rPr>
                <w:rFonts w:hint="eastAsia" w:ascii="宋体" w:hAnsi="宋体" w:eastAsia="宋体" w:cs="宋体"/>
                <w:sz w:val="21"/>
                <w:szCs w:val="21"/>
                <w:lang w:val="en-US" w:eastAsia="zh-CN"/>
              </w:rPr>
              <w:t>互联网信息源</w:t>
            </w:r>
            <w:r>
              <w:rPr>
                <w:rFonts w:hint="eastAsia" w:ascii="宋体" w:hAnsi="宋体" w:eastAsia="宋体" w:cs="宋体"/>
                <w:sz w:val="21"/>
                <w:szCs w:val="21"/>
              </w:rPr>
              <w:t>，该模式</w:t>
            </w:r>
            <w:r>
              <w:rPr>
                <w:rFonts w:hint="eastAsia" w:ascii="宋体" w:hAnsi="宋体" w:eastAsia="宋体" w:cs="宋体"/>
                <w:sz w:val="21"/>
                <w:szCs w:val="21"/>
                <w:lang w:val="en-US" w:eastAsia="zh-CN"/>
              </w:rPr>
              <w:t>合规</w:t>
            </w:r>
            <w:r>
              <w:rPr>
                <w:rFonts w:hint="eastAsia" w:ascii="宋体" w:hAnsi="宋体" w:eastAsia="宋体" w:cs="宋体"/>
                <w:sz w:val="21"/>
                <w:szCs w:val="21"/>
              </w:rPr>
              <w:t>风险大、无长期发展空间</w:t>
            </w:r>
            <w:r>
              <w:rPr>
                <w:rFonts w:hint="eastAsia" w:ascii="宋体" w:hAnsi="宋体" w:eastAsia="宋体" w:cs="宋体"/>
                <w:sz w:val="21"/>
                <w:szCs w:val="21"/>
                <w:lang w:eastAsia="zh-CN"/>
              </w:rPr>
              <w:t>。</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val="0"/>
                <w:bCs/>
                <w:sz w:val="21"/>
                <w:szCs w:val="21"/>
              </w:rPr>
              <w:t>每经科技重点</w:t>
            </w:r>
            <w:r>
              <w:rPr>
                <w:rFonts w:hint="eastAsia" w:ascii="宋体" w:hAnsi="宋体" w:eastAsia="宋体" w:cs="宋体"/>
                <w:b w:val="0"/>
                <w:bCs/>
                <w:sz w:val="21"/>
                <w:szCs w:val="21"/>
                <w:lang w:val="en-US" w:eastAsia="zh-CN"/>
              </w:rPr>
              <w:t>针对大中型企业的品牌/舆情和投资者关系场景，服务大企业</w:t>
            </w:r>
            <w:r>
              <w:rPr>
                <w:rFonts w:hint="eastAsia" w:ascii="宋体" w:hAnsi="宋体" w:eastAsia="宋体" w:cs="宋体"/>
                <w:b w:val="0"/>
                <w:bCs/>
                <w:sz w:val="21"/>
                <w:szCs w:val="21"/>
              </w:rPr>
              <w:t>PR</w:t>
            </w:r>
            <w:r>
              <w:rPr>
                <w:rFonts w:hint="eastAsia" w:ascii="宋体" w:hAnsi="宋体" w:eastAsia="宋体" w:cs="宋体"/>
                <w:b w:val="0"/>
                <w:bCs/>
                <w:sz w:val="21"/>
                <w:szCs w:val="21"/>
                <w:lang w:val="en-US" w:eastAsia="zh-CN"/>
              </w:rPr>
              <w:t>和</w:t>
            </w:r>
            <w:r>
              <w:rPr>
                <w:rFonts w:hint="eastAsia" w:ascii="宋体" w:hAnsi="宋体" w:eastAsia="宋体" w:cs="宋体"/>
                <w:bCs/>
                <w:sz w:val="21"/>
                <w:szCs w:val="21"/>
              </w:rPr>
              <w:t>IR</w:t>
            </w:r>
            <w:r>
              <w:rPr>
                <w:rFonts w:hint="eastAsia" w:ascii="宋体" w:hAnsi="宋体" w:eastAsia="宋体" w:cs="宋体"/>
                <w:bCs/>
                <w:sz w:val="21"/>
                <w:szCs w:val="21"/>
                <w:lang w:val="en-US" w:eastAsia="zh-CN"/>
              </w:rPr>
              <w:t>部门需求，主要通过权威的 AI可见性效果监测评估和合规可信内容建设和技术优化来满足客户需求，目前仍在市场探索期。</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Q：生学教育业务目前的经营情况如何？</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highlight w:val="none"/>
              </w:rPr>
              <w:t>生学业务目前经营正常，但受宏观经济形势影响，</w:t>
            </w:r>
            <w:r>
              <w:rPr>
                <w:rFonts w:hint="eastAsia" w:ascii="宋体" w:hAnsi="宋体" w:eastAsia="宋体" w:cs="宋体"/>
                <w:sz w:val="21"/>
                <w:szCs w:val="21"/>
                <w:highlight w:val="none"/>
                <w:lang w:val="en-US" w:eastAsia="zh-CN"/>
              </w:rPr>
              <w:t>公司减少与有回款风险的企业</w:t>
            </w:r>
            <w:r>
              <w:rPr>
                <w:rFonts w:hint="eastAsia" w:ascii="宋体" w:hAnsi="宋体" w:eastAsia="宋体" w:cs="宋体"/>
                <w:sz w:val="21"/>
                <w:szCs w:val="21"/>
                <w:highlight w:val="none"/>
              </w:rPr>
              <w:t>合作</w:t>
            </w:r>
            <w:r>
              <w:rPr>
                <w:rFonts w:hint="eastAsia" w:ascii="宋体" w:hAnsi="宋体" w:eastAsia="宋体" w:cs="宋体"/>
                <w:sz w:val="21"/>
                <w:szCs w:val="21"/>
              </w:rPr>
              <w:t>，当前主要聚焦政府或学校的专项债项目，此类项目资金稳定、有保障。具体数据因处于审计阶段暂无法披露。</w:t>
            </w:r>
          </w:p>
          <w:p>
            <w:pPr>
              <w:spacing w:before="120" w:after="120" w:line="288" w:lineRule="auto"/>
              <w:ind w:left="0"/>
              <w:jc w:val="left"/>
              <w:rPr>
                <w:rFonts w:hint="eastAsia" w:ascii="宋体" w:hAnsi="宋体" w:eastAsia="宋体" w:cs="宋体"/>
                <w:sz w:val="21"/>
                <w:szCs w:val="21"/>
              </w:rPr>
            </w:pPr>
            <w:bookmarkStart w:id="0" w:name="OLE_LINK1"/>
            <w:r>
              <w:rPr>
                <w:rFonts w:hint="eastAsia" w:ascii="宋体" w:hAnsi="宋体" w:eastAsia="宋体" w:cs="宋体"/>
                <w:b/>
                <w:sz w:val="21"/>
                <w:szCs w:val="21"/>
              </w:rPr>
              <w:t>Q：新上线游戏的表现及26年游戏产品储备情况如何？</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12月20日上线的《MT口袋守卫战》，表现</w:t>
            </w:r>
            <w:r>
              <w:rPr>
                <w:rFonts w:hint="eastAsia" w:ascii="宋体" w:hAnsi="宋体" w:eastAsia="宋体" w:cs="宋体"/>
                <w:sz w:val="21"/>
                <w:szCs w:val="21"/>
                <w:lang w:val="en-US" w:eastAsia="zh-CN"/>
              </w:rPr>
              <w:t>较好、目前</w:t>
            </w:r>
            <w:r>
              <w:rPr>
                <w:rFonts w:hint="eastAsia" w:ascii="宋体" w:hAnsi="宋体" w:eastAsia="宋体" w:cs="宋体"/>
                <w:sz w:val="21"/>
                <w:szCs w:val="21"/>
              </w:rPr>
              <w:t>符合预期。26年储备3款游戏，目标是至少有1款新游上线。</w:t>
            </w:r>
            <w:bookmarkStart w:id="1" w:name="_GoBack"/>
            <w:bookmarkEnd w:id="1"/>
          </w:p>
          <w:bookmarkEnd w:id="0"/>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Q：2026年每经</w:t>
            </w:r>
            <w:r>
              <w:rPr>
                <w:rFonts w:hint="eastAsia" w:ascii="宋体" w:hAnsi="宋体" w:eastAsia="宋体" w:cs="宋体"/>
                <w:b/>
                <w:sz w:val="21"/>
                <w:szCs w:val="21"/>
                <w:lang w:val="en-US" w:eastAsia="zh-CN"/>
              </w:rPr>
              <w:t>科技</w:t>
            </w:r>
            <w:r>
              <w:rPr>
                <w:rFonts w:hint="eastAsia" w:ascii="宋体" w:hAnsi="宋体" w:eastAsia="宋体" w:cs="宋体"/>
                <w:b/>
                <w:sz w:val="21"/>
                <w:szCs w:val="21"/>
              </w:rPr>
              <w:t>的重点推广方向及新产品策略是什么？</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公司目前主打核心产品，其中三个相对成熟。26年将在巩固这三个成熟产品的基础上，重点推广新增的几个产品线，尤其是AI舆情和GEO服务</w:t>
            </w:r>
            <w:r>
              <w:rPr>
                <w:rFonts w:hint="eastAsia" w:ascii="宋体" w:hAnsi="宋体" w:eastAsia="宋体" w:cs="宋体"/>
                <w:sz w:val="21"/>
                <w:szCs w:val="21"/>
                <w:lang w:val="en-US" w:eastAsia="zh-CN"/>
              </w:rPr>
              <w:t>等</w:t>
            </w:r>
            <w:r>
              <w:rPr>
                <w:rFonts w:hint="eastAsia" w:ascii="宋体" w:hAnsi="宋体" w:eastAsia="宋体" w:cs="宋体"/>
                <w:sz w:val="21"/>
                <w:szCs w:val="21"/>
              </w:rPr>
              <w:t>，这是2026年重点推进的产品体系。</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Q：从技术层面，GEO模式下公司如何影响大模型的输出内容？</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GEO模式并非直接影响大模型的输出内容，而是通过影响大模型的输入内容间接影响输出。影响输入的层面包括：1）预训练阶段：可一定程度影响预训练数据，但难度较高；2）</w:t>
            </w:r>
            <w:r>
              <w:rPr>
                <w:rFonts w:hint="eastAsia" w:ascii="宋体" w:hAnsi="宋体" w:eastAsia="宋体" w:cs="宋体"/>
                <w:sz w:val="21"/>
                <w:szCs w:val="21"/>
                <w:lang w:val="en-US" w:eastAsia="zh-CN"/>
              </w:rPr>
              <w:t>检索</w:t>
            </w:r>
            <w:r>
              <w:rPr>
                <w:rFonts w:hint="eastAsia" w:ascii="宋体" w:hAnsi="宋体" w:eastAsia="宋体" w:cs="宋体"/>
                <w:sz w:val="21"/>
                <w:szCs w:val="21"/>
              </w:rPr>
              <w:t>增强（AI搜索）阶段：这是目前市场做GEO的主要方式，即通过联网搜索补充新信息输入，该环节影响输入相对简单，本质是在SEO基础上针对大模型优化，包含技术策略和内容策略。</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Q：每经作为官媒类平台，相比</w:t>
            </w:r>
            <w:r>
              <w:rPr>
                <w:rFonts w:hint="eastAsia" w:ascii="宋体" w:hAnsi="宋体" w:eastAsia="宋体" w:cs="宋体"/>
                <w:b/>
                <w:sz w:val="21"/>
                <w:szCs w:val="21"/>
                <w:lang w:val="en-US" w:eastAsia="zh-CN"/>
              </w:rPr>
              <w:t>商业</w:t>
            </w:r>
            <w:r>
              <w:rPr>
                <w:rFonts w:hint="eastAsia" w:ascii="宋体" w:hAnsi="宋体" w:eastAsia="宋体" w:cs="宋体"/>
                <w:b/>
                <w:sz w:val="21"/>
                <w:szCs w:val="21"/>
              </w:rPr>
              <w:t>网站的核心壁垒是什么？</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核心优势包括：1）信源质量与渠道声誉：作为二十多年积累的专业财经媒体，在大模型信源权重分析中，权威财经媒体的权重较高；2）内容策划与优化能力：每日经济新闻及每经科技积累了大量内容服务、内容策略经验及财经媒体专业能力；3）技术积累：正在进行相关技术储备。</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Q：针对不同大模型（如千问、豆包）的适配技术路径有何区别？</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国内大模型生态较</w:t>
            </w:r>
            <w:r>
              <w:rPr>
                <w:rFonts w:hint="eastAsia" w:ascii="宋体" w:hAnsi="宋体" w:eastAsia="宋体" w:cs="宋体"/>
                <w:sz w:val="21"/>
                <w:szCs w:val="21"/>
                <w:lang w:val="en-US" w:eastAsia="zh-CN"/>
              </w:rPr>
              <w:t>分化</w:t>
            </w:r>
            <w:r>
              <w:rPr>
                <w:rFonts w:hint="eastAsia" w:ascii="宋体" w:hAnsi="宋体" w:eastAsia="宋体" w:cs="宋体"/>
                <w:sz w:val="21"/>
                <w:szCs w:val="21"/>
              </w:rPr>
              <w:t>，需针对不同平台做定制化内容策略优化：豆包、</w:t>
            </w:r>
            <w:r>
              <w:rPr>
                <w:rFonts w:hint="eastAsia" w:ascii="宋体" w:hAnsi="宋体" w:eastAsia="宋体" w:cs="宋体"/>
                <w:sz w:val="21"/>
                <w:szCs w:val="21"/>
                <w:lang w:val="en-US" w:eastAsia="zh-CN"/>
              </w:rPr>
              <w:t>KIMI</w:t>
            </w:r>
            <w:r>
              <w:rPr>
                <w:rFonts w:hint="eastAsia" w:ascii="宋体" w:hAnsi="宋体" w:eastAsia="宋体" w:cs="宋体"/>
                <w:sz w:val="21"/>
                <w:szCs w:val="21"/>
              </w:rPr>
              <w:t>、元宝等平台各有内容偏好，需根据平台偏好定向定制渠道和内容。</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Q：GEO服务是标准化项目还是需按客户需求定制？</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GEO服务具有个性化解决方案性质，但策略、经验、服务模式及底层技术逻辑大多可复用，仅针对客户个性化需求或优化点提供定制化服务方式。</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w:t>
            </w:r>
            <w:r>
              <w:rPr>
                <w:rFonts w:hint="eastAsia" w:ascii="宋体" w:hAnsi="宋体" w:eastAsia="宋体" w:cs="宋体"/>
                <w:b/>
                <w:sz w:val="21"/>
                <w:szCs w:val="21"/>
                <w:lang w:val="en-US" w:eastAsia="zh-CN"/>
              </w:rPr>
              <w:t>每经科技</w:t>
            </w:r>
            <w:r>
              <w:rPr>
                <w:rFonts w:hint="eastAsia" w:ascii="宋体" w:hAnsi="宋体" w:eastAsia="宋体" w:cs="宋体"/>
                <w:b/>
                <w:sz w:val="21"/>
                <w:szCs w:val="21"/>
              </w:rPr>
              <w:t>在大模型覆盖上是否有优先排序？</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技术能力和优化能力可实现大模型全覆盖，具体覆盖哪些模型由客户根据行业、关键词组领域的偏好选择确定。</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Q：GEO相比SEO增加了哪些门槛？</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门槛提升体现在：1）技术逻辑：SEO基于搜索引擎关键词匹配，GEO基于语义理解，技术难度更高；2）内容要求：GEO对内容质量要求更高，大模型会通过语义分析判断内容质量，无法通过关键词堆砌或水军模式完成，长期看模型会持续优化信源选择和内容质量判断标准。</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Q：每经科技外部客户数量增长及业务规模增速情况如何？</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外部客户数量增长情况已在公告</w:t>
            </w:r>
            <w:r>
              <w:rPr>
                <w:rFonts w:hint="eastAsia" w:ascii="宋体" w:hAnsi="宋体" w:eastAsia="宋体" w:cs="宋体"/>
                <w:sz w:val="21"/>
                <w:szCs w:val="21"/>
                <w:lang w:val="en-US" w:eastAsia="zh-CN"/>
              </w:rPr>
              <w:t>中</w:t>
            </w:r>
            <w:r>
              <w:rPr>
                <w:rFonts w:hint="eastAsia" w:ascii="宋体" w:hAnsi="宋体" w:eastAsia="宋体" w:cs="宋体"/>
                <w:sz w:val="21"/>
                <w:szCs w:val="21"/>
              </w:rPr>
              <w:t>披露，2025年度数据正在梳理中；业务整体增速</w:t>
            </w:r>
            <w:r>
              <w:rPr>
                <w:rFonts w:hint="eastAsia" w:ascii="宋体" w:hAnsi="宋体" w:eastAsia="宋体" w:cs="宋体"/>
                <w:sz w:val="21"/>
                <w:szCs w:val="21"/>
                <w:lang w:val="en-US" w:eastAsia="zh-CN"/>
              </w:rPr>
              <w:t>较</w:t>
            </w:r>
            <w:r>
              <w:rPr>
                <w:rFonts w:hint="eastAsia" w:ascii="宋体" w:hAnsi="宋体" w:eastAsia="宋体" w:cs="宋体"/>
                <w:sz w:val="21"/>
                <w:szCs w:val="21"/>
              </w:rPr>
              <w:t>快，外部客户</w:t>
            </w:r>
            <w:r>
              <w:rPr>
                <w:rFonts w:hint="eastAsia" w:ascii="宋体" w:hAnsi="宋体" w:eastAsia="宋体" w:cs="宋体"/>
                <w:sz w:val="21"/>
                <w:szCs w:val="21"/>
                <w:lang w:val="en-US" w:eastAsia="zh-CN"/>
              </w:rPr>
              <w:t>业务</w:t>
            </w:r>
            <w:r>
              <w:rPr>
                <w:rFonts w:hint="eastAsia" w:ascii="宋体" w:hAnsi="宋体" w:eastAsia="宋体" w:cs="宋体"/>
                <w:sz w:val="21"/>
                <w:szCs w:val="21"/>
              </w:rPr>
              <w:t>处于</w:t>
            </w:r>
            <w:r>
              <w:rPr>
                <w:rFonts w:hint="eastAsia" w:ascii="宋体" w:hAnsi="宋体" w:eastAsia="宋体" w:cs="宋体"/>
                <w:sz w:val="21"/>
                <w:szCs w:val="21"/>
                <w:lang w:val="en-US" w:eastAsia="zh-CN"/>
              </w:rPr>
              <w:t>较</w:t>
            </w:r>
            <w:r>
              <w:rPr>
                <w:rFonts w:hint="eastAsia" w:ascii="宋体" w:hAnsi="宋体" w:eastAsia="宋体" w:cs="宋体"/>
                <w:sz w:val="21"/>
                <w:szCs w:val="21"/>
              </w:rPr>
              <w:t>高增长状态。</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Q：GEO业务的毛利率情况及客单价策略是什么？</w:t>
            </w:r>
          </w:p>
          <w:p>
            <w:pPr>
              <w:spacing w:before="120" w:after="120" w:line="288" w:lineRule="auto"/>
              <w:ind w:left="0"/>
              <w:jc w:val="left"/>
              <w:rPr>
                <w:rFonts w:hint="eastAsia" w:ascii="宋体" w:hAnsi="宋体" w:eastAsia="宋体" w:cs="宋体"/>
                <w:sz w:val="21"/>
                <w:szCs w:val="21"/>
                <w:lang w:eastAsia="zh-CN"/>
              </w:rPr>
            </w:pPr>
            <w:r>
              <w:rPr>
                <w:rFonts w:hint="eastAsia" w:ascii="宋体" w:hAnsi="宋体" w:eastAsia="宋体" w:cs="宋体"/>
                <w:b/>
                <w:sz w:val="21"/>
                <w:szCs w:val="21"/>
              </w:rPr>
              <w:t>A：</w:t>
            </w:r>
            <w:r>
              <w:rPr>
                <w:rFonts w:hint="eastAsia" w:ascii="宋体" w:hAnsi="宋体" w:eastAsia="宋体" w:cs="宋体"/>
                <w:sz w:val="21"/>
                <w:szCs w:val="21"/>
              </w:rPr>
              <w:t>国内GEO市场从2025年下半年起步，服务模式未定型，暂无法给出明确毛利率。但公司策略是依托优质内容和渠道，客单价显著高于传统营销</w:t>
            </w:r>
            <w:r>
              <w:rPr>
                <w:rFonts w:hint="eastAsia" w:ascii="宋体" w:hAnsi="宋体" w:eastAsia="宋体" w:cs="宋体"/>
                <w:sz w:val="21"/>
                <w:szCs w:val="21"/>
                <w:lang w:val="en-US" w:eastAsia="zh-CN"/>
              </w:rPr>
              <w:t>GEO</w:t>
            </w:r>
            <w:r>
              <w:rPr>
                <w:rFonts w:hint="eastAsia" w:ascii="宋体" w:hAnsi="宋体" w:eastAsia="宋体" w:cs="宋体"/>
                <w:sz w:val="21"/>
                <w:szCs w:val="21"/>
              </w:rPr>
              <w:t>模式</w:t>
            </w:r>
            <w:r>
              <w:rPr>
                <w:rFonts w:hint="eastAsia" w:ascii="宋体" w:hAnsi="宋体" w:eastAsia="宋体" w:cs="宋体"/>
                <w:sz w:val="21"/>
                <w:szCs w:val="21"/>
                <w:lang w:eastAsia="zh-CN"/>
              </w:rPr>
              <w:t>。</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Q：GEO业务的目标客户行业及拓展方向是什么？</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目标客户为大中型品牌企业，侧重品牌建设、投资者关系领域有高需求和预算的客户；避开竞争激烈的营销场景及中小企业灰色地带服务，通过合规方式服务大企业，聚焦品牌、PR、IR预算；以每日经济新闻现有客户体系为初始开发范围，逐步拓展市场，无明确行业偏好。</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Q：GEO业务是否有明确定价？</w:t>
            </w:r>
          </w:p>
          <w:p>
            <w:pPr>
              <w:spacing w:before="120" w:after="120" w:line="288" w:lineRule="auto"/>
              <w:ind w:left="0"/>
              <w:jc w:val="left"/>
              <w:rPr>
                <w:rFonts w:hint="eastAsia" w:ascii="宋体" w:hAnsi="宋体" w:eastAsia="宋体" w:cs="宋体"/>
                <w:sz w:val="21"/>
                <w:szCs w:val="21"/>
                <w:lang w:eastAsia="zh-CN"/>
              </w:rPr>
            </w:pPr>
            <w:r>
              <w:rPr>
                <w:rFonts w:hint="eastAsia" w:ascii="宋体" w:hAnsi="宋体" w:eastAsia="宋体" w:cs="宋体"/>
                <w:b/>
                <w:sz w:val="21"/>
                <w:szCs w:val="21"/>
              </w:rPr>
              <w:t>A：</w:t>
            </w:r>
            <w:r>
              <w:rPr>
                <w:rFonts w:hint="eastAsia" w:ascii="宋体" w:hAnsi="宋体" w:eastAsia="宋体" w:cs="宋体"/>
                <w:sz w:val="21"/>
                <w:szCs w:val="21"/>
              </w:rPr>
              <w:t>GEO本质是非标业务，目前根据客户个性化需求和方案定价</w:t>
            </w:r>
            <w:r>
              <w:rPr>
                <w:rFonts w:hint="eastAsia" w:ascii="宋体" w:hAnsi="宋体" w:eastAsia="宋体" w:cs="宋体"/>
                <w:sz w:val="21"/>
                <w:szCs w:val="21"/>
                <w:lang w:eastAsia="zh-CN"/>
              </w:rPr>
              <w:t>。</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Q：发展GEO相比SEO增加的成本集中在哪些方面？</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新增成本主要包括：1）技术成本：需开发AI可见性效果监测系统、技术评估工具，用于展示客户AI可见性表现并指导优化方向；2）内容策划成本：需根据客户需求制作优质内容并选择优质渠道发布。</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Q：GEO业务团队规模有多大？</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目前从事GEO相关技术和运营的人员约十几人。</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Q：2026年GEO市场有哪些趋势？</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2026年一季度GEO市场将出现新变化：服务商</w:t>
            </w:r>
            <w:r>
              <w:rPr>
                <w:rFonts w:hint="eastAsia" w:ascii="宋体" w:hAnsi="宋体" w:eastAsia="宋体" w:cs="宋体"/>
                <w:sz w:val="21"/>
                <w:szCs w:val="21"/>
                <w:lang w:val="en-US" w:eastAsia="zh-CN"/>
              </w:rPr>
              <w:t>预计</w:t>
            </w:r>
            <w:r>
              <w:rPr>
                <w:rFonts w:hint="eastAsia" w:ascii="宋体" w:hAnsi="宋体" w:eastAsia="宋体" w:cs="宋体"/>
                <w:sz w:val="21"/>
                <w:szCs w:val="21"/>
              </w:rPr>
              <w:t>集中推出产品或</w:t>
            </w:r>
            <w:r>
              <w:rPr>
                <w:rFonts w:hint="eastAsia" w:ascii="宋体" w:hAnsi="宋体" w:eastAsia="宋体" w:cs="宋体"/>
                <w:sz w:val="21"/>
                <w:szCs w:val="21"/>
                <w:lang w:val="en-US" w:eastAsia="zh-CN"/>
              </w:rPr>
              <w:t>战略</w:t>
            </w:r>
            <w:r>
              <w:rPr>
                <w:rFonts w:hint="eastAsia" w:ascii="宋体" w:hAnsi="宋体" w:eastAsia="宋体" w:cs="宋体"/>
                <w:sz w:val="21"/>
                <w:szCs w:val="21"/>
              </w:rPr>
              <w:t>，大模型厂商</w:t>
            </w:r>
            <w:r>
              <w:rPr>
                <w:rFonts w:hint="eastAsia" w:ascii="宋体" w:hAnsi="宋体" w:eastAsia="宋体" w:cs="宋体"/>
                <w:sz w:val="21"/>
                <w:szCs w:val="21"/>
                <w:lang w:val="en-US" w:eastAsia="zh-CN"/>
              </w:rPr>
              <w:t>预计</w:t>
            </w:r>
            <w:r>
              <w:rPr>
                <w:rFonts w:hint="eastAsia" w:ascii="宋体" w:hAnsi="宋体" w:eastAsia="宋体" w:cs="宋体"/>
                <w:sz w:val="21"/>
                <w:szCs w:val="21"/>
              </w:rPr>
              <w:t>上半年将在信源治理、GEO优化治理层面推出新政策；</w:t>
            </w:r>
            <w:r>
              <w:rPr>
                <w:rFonts w:hint="eastAsia" w:ascii="宋体" w:hAnsi="宋体" w:eastAsia="宋体" w:cs="宋体"/>
                <w:sz w:val="21"/>
                <w:szCs w:val="21"/>
                <w:lang w:val="en-US" w:eastAsia="zh-CN"/>
              </w:rPr>
              <w:t>总体上，</w:t>
            </w:r>
            <w:r>
              <w:rPr>
                <w:rFonts w:hint="eastAsia" w:ascii="宋体" w:hAnsi="宋体" w:eastAsia="宋体" w:cs="宋体"/>
                <w:sz w:val="21"/>
                <w:szCs w:val="21"/>
              </w:rPr>
              <w:t>优质信源和内容渠道会被大模型筛选并给予高引用。</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Q：哪些企业最易从GEO中短期受益？</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做营销层面GEO（效果广告、纯转化）的中小企业</w:t>
            </w:r>
            <w:r>
              <w:rPr>
                <w:rFonts w:hint="eastAsia" w:ascii="宋体" w:hAnsi="宋体" w:eastAsia="宋体" w:cs="宋体"/>
                <w:sz w:val="21"/>
                <w:szCs w:val="21"/>
                <w:lang w:val="en-US" w:eastAsia="zh-CN"/>
              </w:rPr>
              <w:t>预计</w:t>
            </w:r>
            <w:r>
              <w:rPr>
                <w:rFonts w:hint="eastAsia" w:ascii="宋体" w:hAnsi="宋体" w:eastAsia="宋体" w:cs="宋体"/>
                <w:sz w:val="21"/>
                <w:szCs w:val="21"/>
              </w:rPr>
              <w:t>先享红利，通过低成本GEO获客、商单/客资转化，但窗口期</w:t>
            </w:r>
            <w:r>
              <w:rPr>
                <w:rFonts w:hint="eastAsia" w:ascii="宋体" w:hAnsi="宋体" w:eastAsia="宋体" w:cs="宋体"/>
                <w:sz w:val="21"/>
                <w:szCs w:val="21"/>
                <w:lang w:val="en-US" w:eastAsia="zh-CN"/>
              </w:rPr>
              <w:t>较短</w:t>
            </w:r>
            <w:r>
              <w:rPr>
                <w:rFonts w:hint="eastAsia" w:ascii="宋体" w:hAnsi="宋体" w:eastAsia="宋体" w:cs="宋体"/>
                <w:sz w:val="21"/>
                <w:szCs w:val="21"/>
              </w:rPr>
              <w:t>，之后模型策略调整、合规监管加强或竞争加剧将</w:t>
            </w:r>
            <w:r>
              <w:rPr>
                <w:rFonts w:hint="eastAsia" w:ascii="宋体" w:hAnsi="宋体" w:eastAsia="宋体" w:cs="宋体"/>
                <w:sz w:val="21"/>
                <w:szCs w:val="21"/>
                <w:lang w:val="en-US" w:eastAsia="zh-CN"/>
              </w:rPr>
              <w:t>可能</w:t>
            </w:r>
            <w:r>
              <w:rPr>
                <w:rFonts w:hint="eastAsia" w:ascii="宋体" w:hAnsi="宋体" w:eastAsia="宋体" w:cs="宋体"/>
                <w:sz w:val="21"/>
                <w:szCs w:val="21"/>
              </w:rPr>
              <w:t>导致红利消失。</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Q：拥有权威垂类媒体平台对GEO业务有何帮助？</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A：</w:t>
            </w:r>
            <w:r>
              <w:rPr>
                <w:rFonts w:hint="eastAsia" w:ascii="宋体" w:hAnsi="宋体" w:eastAsia="宋体" w:cs="宋体"/>
                <w:sz w:val="21"/>
                <w:szCs w:val="21"/>
              </w:rPr>
              <w:t>权威垂类媒体平台具备优质信源和内容优势，大模型会筛选优质信源并给予高引用，虽不一定直接体现为流量增长，但媒体可掌握内容解释权及影响用户认知的权</w:t>
            </w:r>
            <w:r>
              <w:rPr>
                <w:rFonts w:hint="eastAsia" w:ascii="宋体" w:hAnsi="宋体" w:eastAsia="宋体" w:cs="宋体"/>
                <w:sz w:val="21"/>
                <w:szCs w:val="21"/>
                <w:lang w:val="en-US" w:eastAsia="zh-CN"/>
              </w:rPr>
              <w:t>力</w:t>
            </w:r>
            <w:r>
              <w:rPr>
                <w:rFonts w:hint="eastAsia" w:ascii="宋体" w:hAnsi="宋体" w:eastAsia="宋体" w:cs="宋体"/>
                <w:sz w:val="21"/>
                <w:szCs w:val="21"/>
              </w:rPr>
              <w:t>，利好GEO业务。</w:t>
            </w:r>
          </w:p>
          <w:p>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b/>
                <w:sz w:val="21"/>
                <w:szCs w:val="21"/>
              </w:rPr>
              <w:t>Q：大模型信源筛选是否有明确标准及引用比重如何确定？</w:t>
            </w:r>
          </w:p>
          <w:p>
            <w:pPr>
              <w:spacing w:before="120" w:after="120" w:line="288" w:lineRule="auto"/>
              <w:ind w:left="0"/>
              <w:jc w:val="left"/>
              <w:rPr>
                <w:rFonts w:hint="eastAsia" w:eastAsia="微软雅黑"/>
                <w:lang w:val="en-US" w:eastAsia="zh-CN"/>
              </w:rPr>
            </w:pPr>
            <w:r>
              <w:rPr>
                <w:rFonts w:hint="eastAsia" w:ascii="宋体" w:hAnsi="宋体" w:eastAsia="宋体" w:cs="宋体"/>
                <w:b/>
                <w:sz w:val="21"/>
                <w:szCs w:val="21"/>
              </w:rPr>
              <w:t>A：</w:t>
            </w:r>
            <w:r>
              <w:rPr>
                <w:rFonts w:hint="eastAsia" w:ascii="宋体" w:hAnsi="宋体" w:eastAsia="宋体" w:cs="宋体"/>
                <w:sz w:val="21"/>
                <w:szCs w:val="21"/>
              </w:rPr>
              <w:t>大模型信源筛选有理论层面的框架标准，但因输出是算法概率结果，无颗粒度极细的明确标准。国内外已有技术团队发表论文研究信源筛选偏好及内容质量判断机制。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67"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附件清单（如有）</w:t>
            </w:r>
          </w:p>
        </w:tc>
        <w:tc>
          <w:tcPr>
            <w:tcW w:w="7748" w:type="dxa"/>
            <w:shd w:val="clear" w:color="auto" w:fill="auto"/>
            <w:vAlign w:val="top"/>
          </w:tcPr>
          <w:p>
            <w:pPr>
              <w:spacing w:line="520" w:lineRule="exact"/>
              <w:jc w:val="center"/>
              <w:rPr>
                <w:rFonts w:ascii="宋体" w:hAnsi="宋体"/>
                <w:bCs/>
                <w:iCs/>
                <w:szCs w:val="21"/>
              </w:rPr>
            </w:pPr>
          </w:p>
          <w:p>
            <w:pPr>
              <w:widowControl/>
              <w:spacing w:line="520" w:lineRule="exact"/>
              <w:jc w:val="center"/>
              <w:rPr>
                <w:rFonts w:hint="eastAsia" w:ascii="宋体" w:hAnsi="宋体" w:eastAsia="宋体"/>
                <w:bCs/>
                <w:iCs/>
                <w:szCs w:val="21"/>
                <w:lang w:val="en-US" w:eastAsia="zh-CN"/>
              </w:rPr>
            </w:pPr>
            <w:r>
              <w:rPr>
                <w:rFonts w:hint="eastAsia" w:ascii="宋体" w:hAnsi="宋体"/>
                <w:bCs/>
                <w:iCs/>
                <w:szCs w:val="21"/>
                <w:lang w:val="en-US" w:eastAsia="zh-CN"/>
              </w:rPr>
              <w:t>无</w:t>
            </w:r>
          </w:p>
        </w:tc>
      </w:tr>
    </w:tbl>
    <w:p>
      <w:pPr>
        <w:spacing w:line="520" w:lineRule="exact"/>
      </w:pPr>
    </w:p>
    <w:p>
      <w:pPr>
        <w:jc w:val="center"/>
        <w:rPr>
          <w:rFonts w:ascii="宋体" w:hAnsi="宋体" w:cs="宋体"/>
          <w:smallCaps/>
          <w:color w:val="000000"/>
          <w:sz w:val="24"/>
          <w:szCs w:val="20"/>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center"/>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1229F"/>
    <w:rsid w:val="07FC2F14"/>
    <w:rsid w:val="128B14A3"/>
    <w:rsid w:val="15776595"/>
    <w:rsid w:val="16F31ED3"/>
    <w:rsid w:val="1C644AAF"/>
    <w:rsid w:val="271820AF"/>
    <w:rsid w:val="27A9704F"/>
    <w:rsid w:val="28557849"/>
    <w:rsid w:val="29FC176D"/>
    <w:rsid w:val="2A8F719A"/>
    <w:rsid w:val="2E6C07FE"/>
    <w:rsid w:val="340B6309"/>
    <w:rsid w:val="37A57C5B"/>
    <w:rsid w:val="475F4F02"/>
    <w:rsid w:val="62B13F5B"/>
    <w:rsid w:val="6E1F562B"/>
    <w:rsid w:val="7A41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395</Characters>
  <Lines>0</Lines>
  <Paragraphs>0</Paragraphs>
  <TotalTime>3</TotalTime>
  <ScaleCrop>false</ScaleCrop>
  <LinksUpToDate>false</LinksUpToDate>
  <CharactersWithSpaces>584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2024-07-26T06:02:00Z</dcterms:created>
  <dc:creator>lenovo</dc:creator>
  <cp:lastModifiedBy>飞天猪</cp:lastModifiedBy>
  <dcterms:modified xsi:type="dcterms:W3CDTF">2026-01-06T12:41:36Z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E9E33D5B3B95493FB27AA7D31B61459B</vt:lpwstr>
  </property>
  <property fmtid="{D5CDD505-2E9C-101B-9397-08002B2CF9AE}" pid="4" name="KSOTemplateDocerSaveRecord">
    <vt:lpwstr>eyJoZGlkIjoiMTAxZDA3NzQxN2YwZmFkOGI2NmIyYzliZWI5NDY0Y2YiLCJ1c2VySWQiOiI1MzU0NjcxMTkifQ==</vt:lpwstr>
  </property>
</Properties>
</file>