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6A4B3">
      <w:pPr>
        <w:spacing w:line="360" w:lineRule="auto"/>
        <w:rPr>
          <w:rFonts w:ascii="宋体" w:hAnsi="宋体" w:cs="宋体"/>
        </w:rPr>
      </w:pPr>
      <w:r>
        <w:rPr>
          <w:rFonts w:hint="eastAsia" w:ascii="宋体" w:hAnsi="宋体" w:cs="宋体"/>
        </w:rPr>
        <w:t>证券代码：601777                                            证券简称：千里科技</w:t>
      </w:r>
    </w:p>
    <w:p w14:paraId="6B53A615">
      <w:pPr>
        <w:jc w:val="center"/>
        <w:rPr>
          <w:rFonts w:ascii="黑体" w:hAnsi="黑体" w:eastAsia="黑体" w:cs="黑体"/>
          <w:b/>
          <w:iCs/>
          <w:color w:val="000000"/>
          <w:szCs w:val="21"/>
        </w:rPr>
      </w:pPr>
    </w:p>
    <w:p w14:paraId="4CB082CA">
      <w:pPr>
        <w:spacing w:line="360" w:lineRule="auto"/>
        <w:jc w:val="center"/>
        <w:rPr>
          <w:rFonts w:ascii="黑体" w:hAnsi="黑体" w:eastAsia="黑体" w:cs="黑体"/>
          <w:b/>
          <w:iCs/>
          <w:color w:val="000000"/>
          <w:sz w:val="36"/>
          <w:szCs w:val="36"/>
        </w:rPr>
      </w:pPr>
      <w:r>
        <w:rPr>
          <w:rFonts w:hint="eastAsia" w:ascii="黑体" w:hAnsi="黑体" w:eastAsia="黑体" w:cs="黑体"/>
          <w:b/>
          <w:iCs/>
          <w:color w:val="000000"/>
          <w:sz w:val="36"/>
          <w:szCs w:val="36"/>
          <w:lang w:val="en-US" w:eastAsia="zh-CN"/>
        </w:rPr>
        <w:t>重庆</w:t>
      </w:r>
      <w:r>
        <w:rPr>
          <w:rFonts w:hint="eastAsia" w:ascii="黑体" w:hAnsi="黑体" w:eastAsia="黑体" w:cs="黑体"/>
          <w:b/>
          <w:iCs/>
          <w:color w:val="000000"/>
          <w:sz w:val="36"/>
          <w:szCs w:val="36"/>
        </w:rPr>
        <w:t>千里科技股份有限公司</w:t>
      </w:r>
    </w:p>
    <w:p w14:paraId="5826E24B">
      <w:pPr>
        <w:spacing w:line="360" w:lineRule="auto"/>
        <w:jc w:val="center"/>
        <w:rPr>
          <w:rFonts w:ascii="黑体" w:hAnsi="黑体" w:eastAsia="黑体" w:cs="黑体"/>
          <w:b/>
          <w:iCs/>
          <w:color w:val="000000"/>
          <w:sz w:val="36"/>
          <w:szCs w:val="36"/>
        </w:rPr>
      </w:pPr>
      <w:r>
        <w:rPr>
          <w:rFonts w:hint="eastAsia" w:ascii="黑体" w:hAnsi="黑体" w:eastAsia="黑体" w:cs="黑体"/>
          <w:b/>
          <w:iCs/>
          <w:color w:val="000000"/>
          <w:sz w:val="36"/>
          <w:szCs w:val="36"/>
        </w:rPr>
        <w:t>投资者关系活动记录表</w:t>
      </w:r>
    </w:p>
    <w:p w14:paraId="11E2D308">
      <w:pPr>
        <w:spacing w:line="360" w:lineRule="auto"/>
        <w:rPr>
          <w:rFonts w:ascii="宋体" w:hAnsi="宋体" w:cs="宋体"/>
          <w:bCs/>
          <w:iCs/>
          <w:color w:val="000000"/>
          <w:sz w:val="24"/>
          <w:szCs w:val="24"/>
        </w:rPr>
      </w:pPr>
      <w:r>
        <w:rPr>
          <w:rFonts w:hint="eastAsia" w:ascii="宋体" w:hAnsi="宋体" w:cs="宋体"/>
          <w:bCs/>
          <w:iCs/>
          <w:color w:val="000000"/>
          <w:sz w:val="24"/>
          <w:szCs w:val="24"/>
        </w:rPr>
        <w:t xml:space="preserve">                                                  编号：2026-1-6</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12D1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DB87078">
            <w:pPr>
              <w:rPr>
                <w:rFonts w:ascii="宋体" w:hAnsi="宋体" w:cs="宋体"/>
                <w:bCs/>
                <w:iCs/>
                <w:sz w:val="24"/>
                <w:szCs w:val="24"/>
              </w:rPr>
            </w:pPr>
            <w:r>
              <w:rPr>
                <w:rFonts w:hint="eastAsia" w:ascii="宋体" w:hAnsi="宋体" w:cs="宋体"/>
                <w:bCs/>
                <w:iCs/>
                <w:sz w:val="24"/>
                <w:szCs w:val="24"/>
              </w:rPr>
              <w:t>投资者关系活动类别</w:t>
            </w:r>
          </w:p>
        </w:tc>
        <w:tc>
          <w:tcPr>
            <w:tcW w:w="6614" w:type="dxa"/>
            <w:tcBorders>
              <w:top w:val="single" w:color="auto" w:sz="4" w:space="0"/>
              <w:left w:val="single" w:color="auto" w:sz="4" w:space="0"/>
              <w:bottom w:val="single" w:color="auto" w:sz="4" w:space="0"/>
              <w:right w:val="single" w:color="auto" w:sz="4" w:space="0"/>
            </w:tcBorders>
          </w:tcPr>
          <w:p w14:paraId="55265E77">
            <w:pPr>
              <w:rPr>
                <w:rFonts w:ascii="宋体" w:cs="宋体"/>
                <w:bCs/>
                <w:iCs/>
                <w:kern w:val="0"/>
                <w:sz w:val="24"/>
              </w:rPr>
            </w:pPr>
            <w:r>
              <w:rPr>
                <w:rFonts w:hint="eastAsia" w:ascii="宋体" w:hAnsi="宋体" w:cs="宋体"/>
                <w:bCs/>
                <w:iCs/>
                <w:kern w:val="0"/>
                <w:sz w:val="24"/>
              </w:rPr>
              <w:sym w:font="Wingdings 2" w:char="0052"/>
            </w:r>
            <w:r>
              <w:rPr>
                <w:rFonts w:hint="eastAsia" w:ascii="宋体" w:hAnsi="宋体" w:cs="宋体"/>
                <w:bCs/>
                <w:iCs/>
                <w:kern w:val="0"/>
                <w:sz w:val="24"/>
              </w:rPr>
              <w:t>特定对象调研    □分析师会议</w:t>
            </w:r>
          </w:p>
          <w:p w14:paraId="4CF1405E">
            <w:pPr>
              <w:rPr>
                <w:rFonts w:ascii="宋体" w:cs="宋体"/>
                <w:bCs/>
                <w:iCs/>
                <w:kern w:val="0"/>
                <w:sz w:val="24"/>
              </w:rPr>
            </w:pPr>
            <w:r>
              <w:rPr>
                <w:rFonts w:hint="eastAsia" w:ascii="宋体" w:hAnsi="宋体" w:cs="宋体"/>
                <w:bCs/>
                <w:iCs/>
                <w:kern w:val="0"/>
                <w:sz w:val="24"/>
              </w:rPr>
              <w:t>□媒体采访        □业绩说明会</w:t>
            </w:r>
          </w:p>
          <w:p w14:paraId="65DC345B">
            <w:pPr>
              <w:rPr>
                <w:rFonts w:ascii="宋体" w:cs="宋体"/>
                <w:bCs/>
                <w:iCs/>
                <w:kern w:val="0"/>
                <w:sz w:val="24"/>
              </w:rPr>
            </w:pPr>
            <w:r>
              <w:rPr>
                <w:rFonts w:hint="eastAsia" w:ascii="宋体" w:hAnsi="宋体" w:cs="宋体"/>
                <w:bCs/>
                <w:iCs/>
                <w:kern w:val="0"/>
                <w:sz w:val="24"/>
              </w:rPr>
              <w:t>□新闻发布会      □路演活动</w:t>
            </w:r>
          </w:p>
          <w:p w14:paraId="4263EF0D">
            <w:pPr>
              <w:tabs>
                <w:tab w:val="left" w:pos="3045"/>
                <w:tab w:val="center" w:pos="3199"/>
              </w:tabs>
              <w:rPr>
                <w:rFonts w:ascii="宋体" w:cs="宋体"/>
                <w:bCs/>
                <w:iCs/>
                <w:kern w:val="0"/>
                <w:sz w:val="24"/>
              </w:rPr>
            </w:pPr>
            <w:r>
              <w:rPr>
                <w:rFonts w:hint="eastAsia" w:ascii="宋体" w:hAnsi="宋体" w:cs="宋体"/>
                <w:bCs/>
                <w:iCs/>
                <w:kern w:val="0"/>
                <w:sz w:val="24"/>
              </w:rPr>
              <w:t>□现场参观</w:t>
            </w:r>
            <w:r>
              <w:rPr>
                <w:rFonts w:ascii="宋体" w:cs="宋体"/>
                <w:bCs/>
                <w:iCs/>
                <w:kern w:val="0"/>
                <w:sz w:val="24"/>
              </w:rPr>
              <w:tab/>
            </w:r>
          </w:p>
          <w:p w14:paraId="6799F663">
            <w:pPr>
              <w:tabs>
                <w:tab w:val="center" w:pos="3199"/>
              </w:tabs>
              <w:rPr>
                <w:rFonts w:ascii="宋体" w:hAnsi="宋体" w:cs="宋体"/>
                <w:bCs/>
                <w:iCs/>
                <w:sz w:val="24"/>
                <w:szCs w:val="24"/>
              </w:rPr>
            </w:pPr>
            <w:r>
              <w:rPr>
                <w:rFonts w:hint="eastAsia" w:ascii="宋体" w:hAnsi="宋体" w:cs="宋体"/>
                <w:bCs/>
                <w:iCs/>
                <w:kern w:val="0"/>
                <w:sz w:val="24"/>
              </w:rPr>
              <w:t>□其他（电话会议）</w:t>
            </w:r>
          </w:p>
        </w:tc>
      </w:tr>
      <w:tr w14:paraId="33DC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908" w:type="dxa"/>
            <w:tcBorders>
              <w:top w:val="single" w:color="auto" w:sz="4" w:space="0"/>
              <w:left w:val="single" w:color="auto" w:sz="4" w:space="0"/>
              <w:bottom w:val="single" w:color="auto" w:sz="4" w:space="0"/>
              <w:right w:val="single" w:color="auto" w:sz="4" w:space="0"/>
            </w:tcBorders>
            <w:vAlign w:val="center"/>
          </w:tcPr>
          <w:p w14:paraId="4F564B82">
            <w:pPr>
              <w:rPr>
                <w:rFonts w:ascii="宋体" w:hAnsi="宋体" w:cs="宋体"/>
                <w:bCs/>
                <w:iCs/>
                <w:sz w:val="24"/>
                <w:szCs w:val="24"/>
              </w:rPr>
            </w:pPr>
            <w:r>
              <w:rPr>
                <w:rFonts w:hint="eastAsia" w:ascii="宋体" w:hAnsi="宋体" w:cs="宋体"/>
                <w:bCs/>
                <w:iCs/>
                <w:sz w:val="24"/>
                <w:szCs w:val="24"/>
              </w:rPr>
              <w:t>接待对象单位名称及人员姓名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075F7140">
            <w:pPr>
              <w:widowControl/>
              <w:jc w:val="left"/>
              <w:rPr>
                <w:rFonts w:ascii="宋体" w:hAnsi="宋体" w:cs="宋体"/>
                <w:bCs/>
                <w:iCs/>
                <w:sz w:val="24"/>
                <w:szCs w:val="24"/>
              </w:rPr>
            </w:pPr>
            <w:r>
              <w:rPr>
                <w:rFonts w:hint="eastAsia" w:ascii="宋体" w:hAnsi="宋体" w:cs="宋体"/>
                <w:bCs/>
                <w:iCs/>
                <w:sz w:val="24"/>
                <w:szCs w:val="24"/>
              </w:rPr>
              <w:t>长江证券、西南证券、国泰海通证券、华泰证券、诺鼎资产、中信证券、华安资产、万家基金等</w:t>
            </w:r>
          </w:p>
        </w:tc>
      </w:tr>
      <w:tr w14:paraId="1EF2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908" w:type="dxa"/>
            <w:tcBorders>
              <w:top w:val="single" w:color="auto" w:sz="4" w:space="0"/>
              <w:left w:val="single" w:color="auto" w:sz="4" w:space="0"/>
              <w:bottom w:val="single" w:color="auto" w:sz="4" w:space="0"/>
              <w:right w:val="single" w:color="auto" w:sz="4" w:space="0"/>
            </w:tcBorders>
            <w:vAlign w:val="center"/>
          </w:tcPr>
          <w:p w14:paraId="5D2AB376">
            <w:pPr>
              <w:rPr>
                <w:rFonts w:ascii="宋体" w:hAnsi="宋体" w:cs="宋体"/>
                <w:bCs/>
                <w:iCs/>
                <w:sz w:val="24"/>
                <w:szCs w:val="24"/>
              </w:rPr>
            </w:pPr>
            <w:r>
              <w:rPr>
                <w:rFonts w:hint="eastAsia" w:ascii="宋体" w:hAnsi="宋体" w:cs="宋体"/>
                <w:bCs/>
                <w:iCs/>
                <w:sz w:val="24"/>
                <w:szCs w:val="24"/>
              </w:rPr>
              <w:t>公司接待人员</w:t>
            </w:r>
          </w:p>
        </w:tc>
        <w:tc>
          <w:tcPr>
            <w:tcW w:w="6614" w:type="dxa"/>
            <w:tcBorders>
              <w:top w:val="single" w:color="auto" w:sz="4" w:space="0"/>
              <w:left w:val="single" w:color="auto" w:sz="4" w:space="0"/>
              <w:bottom w:val="single" w:color="auto" w:sz="4" w:space="0"/>
              <w:right w:val="single" w:color="auto" w:sz="4" w:space="0"/>
            </w:tcBorders>
            <w:vAlign w:val="center"/>
          </w:tcPr>
          <w:p w14:paraId="06D87C9F">
            <w:pPr>
              <w:rPr>
                <w:rFonts w:ascii="宋体" w:hAnsi="宋体" w:cs="宋体"/>
                <w:bCs/>
                <w:iCs/>
                <w:sz w:val="24"/>
                <w:szCs w:val="24"/>
              </w:rPr>
            </w:pPr>
            <w:r>
              <w:rPr>
                <w:rFonts w:hint="eastAsia" w:ascii="宋体" w:hAnsi="宋体" w:cs="宋体"/>
                <w:bCs/>
                <w:iCs/>
                <w:sz w:val="24"/>
                <w:szCs w:val="24"/>
              </w:rPr>
              <w:t>董事长助理</w:t>
            </w:r>
          </w:p>
        </w:tc>
      </w:tr>
      <w:tr w14:paraId="6FDD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908" w:type="dxa"/>
            <w:tcBorders>
              <w:top w:val="single" w:color="auto" w:sz="4" w:space="0"/>
              <w:left w:val="single" w:color="auto" w:sz="4" w:space="0"/>
              <w:bottom w:val="single" w:color="auto" w:sz="4" w:space="0"/>
              <w:right w:val="single" w:color="auto" w:sz="4" w:space="0"/>
            </w:tcBorders>
            <w:vAlign w:val="center"/>
          </w:tcPr>
          <w:p w14:paraId="39F0FC12">
            <w:pPr>
              <w:rPr>
                <w:rFonts w:ascii="宋体" w:hAnsi="宋体" w:cs="宋体"/>
                <w:bCs/>
                <w:iCs/>
                <w:sz w:val="24"/>
                <w:szCs w:val="24"/>
              </w:rPr>
            </w:pPr>
            <w:r>
              <w:rPr>
                <w:rFonts w:hint="eastAsia" w:ascii="宋体" w:hAnsi="宋体" w:cs="宋体"/>
                <w:bCs/>
                <w:iCs/>
                <w:sz w:val="24"/>
                <w:szCs w:val="24"/>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3707032E">
            <w:pPr>
              <w:rPr>
                <w:rFonts w:ascii="宋体" w:hAnsi="宋体" w:cs="宋体"/>
                <w:bCs/>
                <w:iCs/>
                <w:sz w:val="24"/>
                <w:szCs w:val="24"/>
              </w:rPr>
            </w:pPr>
            <w:r>
              <w:rPr>
                <w:rFonts w:hint="eastAsia" w:ascii="宋体" w:hAnsi="宋体" w:cs="宋体"/>
                <w:bCs/>
                <w:iCs/>
                <w:sz w:val="24"/>
                <w:szCs w:val="24"/>
              </w:rPr>
              <w:t>2026年1月6日</w:t>
            </w:r>
          </w:p>
        </w:tc>
      </w:tr>
      <w:tr w14:paraId="14FA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08" w:type="dxa"/>
            <w:tcBorders>
              <w:top w:val="single" w:color="auto" w:sz="4" w:space="0"/>
              <w:left w:val="single" w:color="auto" w:sz="4" w:space="0"/>
              <w:bottom w:val="single" w:color="auto" w:sz="4" w:space="0"/>
              <w:right w:val="single" w:color="auto" w:sz="4" w:space="0"/>
            </w:tcBorders>
            <w:vAlign w:val="center"/>
          </w:tcPr>
          <w:p w14:paraId="03A11CBB">
            <w:pPr>
              <w:rPr>
                <w:rFonts w:ascii="宋体" w:hAnsi="宋体" w:cs="宋体"/>
                <w:bCs/>
                <w:iCs/>
                <w:sz w:val="24"/>
                <w:szCs w:val="24"/>
              </w:rPr>
            </w:pPr>
            <w:r>
              <w:rPr>
                <w:rFonts w:hint="eastAsia" w:ascii="宋体" w:hAnsi="宋体" w:cs="宋体"/>
                <w:bCs/>
                <w:iCs/>
                <w:sz w:val="24"/>
                <w:szCs w:val="24"/>
              </w:rPr>
              <w:t>地点</w:t>
            </w:r>
          </w:p>
        </w:tc>
        <w:tc>
          <w:tcPr>
            <w:tcW w:w="6614" w:type="dxa"/>
            <w:tcBorders>
              <w:top w:val="single" w:color="auto" w:sz="4" w:space="0"/>
              <w:left w:val="single" w:color="auto" w:sz="4" w:space="0"/>
              <w:bottom w:val="single" w:color="auto" w:sz="4" w:space="0"/>
              <w:right w:val="single" w:color="auto" w:sz="4" w:space="0"/>
            </w:tcBorders>
            <w:vAlign w:val="center"/>
          </w:tcPr>
          <w:p w14:paraId="02F89F65">
            <w:pPr>
              <w:rPr>
                <w:rFonts w:ascii="宋体" w:hAnsi="宋体" w:cs="宋体"/>
                <w:bCs/>
                <w:iCs/>
                <w:sz w:val="24"/>
                <w:szCs w:val="24"/>
              </w:rPr>
            </w:pPr>
            <w:r>
              <w:rPr>
                <w:rFonts w:hint="eastAsia" w:ascii="宋体" w:hAnsi="宋体" w:cs="宋体"/>
                <w:bCs/>
                <w:iCs/>
                <w:sz w:val="24"/>
                <w:szCs w:val="24"/>
                <w:lang w:val="en-US" w:eastAsia="zh-CN"/>
              </w:rPr>
              <w:t>重庆</w:t>
            </w:r>
            <w:r>
              <w:rPr>
                <w:rFonts w:hint="eastAsia" w:ascii="宋体" w:hAnsi="宋体" w:cs="宋体"/>
                <w:bCs/>
                <w:iCs/>
                <w:sz w:val="24"/>
                <w:szCs w:val="24"/>
              </w:rPr>
              <w:t>千里科技股份有限公司11楼会议室</w:t>
            </w:r>
          </w:p>
        </w:tc>
      </w:tr>
      <w:tr w14:paraId="7326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908" w:type="dxa"/>
            <w:tcBorders>
              <w:top w:val="single" w:color="auto" w:sz="4" w:space="0"/>
              <w:left w:val="single" w:color="auto" w:sz="4" w:space="0"/>
              <w:bottom w:val="single" w:color="auto" w:sz="4" w:space="0"/>
              <w:right w:val="single" w:color="auto" w:sz="4" w:space="0"/>
            </w:tcBorders>
            <w:vAlign w:val="center"/>
          </w:tcPr>
          <w:p w14:paraId="23D75335">
            <w:pPr>
              <w:rPr>
                <w:rFonts w:ascii="宋体" w:hAnsi="宋体" w:cs="宋体"/>
                <w:bCs/>
                <w:iCs/>
                <w:sz w:val="24"/>
                <w:szCs w:val="24"/>
              </w:rPr>
            </w:pPr>
            <w:r>
              <w:rPr>
                <w:sz w:val="24"/>
              </w:rPr>
              <w:t>交流内容及具体问答记录</w:t>
            </w:r>
          </w:p>
        </w:tc>
        <w:tc>
          <w:tcPr>
            <w:tcW w:w="6614" w:type="dxa"/>
            <w:tcBorders>
              <w:top w:val="single" w:color="auto" w:sz="4" w:space="0"/>
              <w:left w:val="single" w:color="auto" w:sz="4" w:space="0"/>
              <w:bottom w:val="single" w:color="auto" w:sz="4" w:space="0"/>
              <w:right w:val="single" w:color="auto" w:sz="4" w:space="0"/>
            </w:tcBorders>
            <w:vAlign w:val="center"/>
          </w:tcPr>
          <w:p w14:paraId="2FD33134">
            <w:pPr>
              <w:numPr>
                <w:ilvl w:val="0"/>
                <w:numId w:val="1"/>
              </w:numPr>
              <w:ind w:firstLine="0"/>
              <w:rPr>
                <w:rFonts w:ascii="宋体" w:hAnsi="宋体" w:cs="宋体"/>
                <w:bCs/>
                <w:iCs/>
                <w:sz w:val="24"/>
                <w:szCs w:val="24"/>
              </w:rPr>
            </w:pPr>
            <w:r>
              <w:rPr>
                <w:rFonts w:hint="eastAsia" w:ascii="宋体" w:hAnsi="宋体" w:cs="宋体"/>
                <w:bCs/>
                <w:iCs/>
                <w:sz w:val="24"/>
                <w:szCs w:val="24"/>
              </w:rPr>
              <w:t>介绍公司沿革。</w:t>
            </w:r>
          </w:p>
          <w:p w14:paraId="6E3EC7B8">
            <w:pPr>
              <w:rPr>
                <w:rFonts w:ascii="宋体" w:hAnsi="宋体" w:cs="宋体"/>
                <w:bCs/>
                <w:iCs/>
                <w:sz w:val="24"/>
                <w:szCs w:val="24"/>
              </w:rPr>
            </w:pPr>
            <w:r>
              <w:rPr>
                <w:rFonts w:hint="eastAsia" w:ascii="宋体" w:hAnsi="宋体" w:cs="宋体"/>
                <w:bCs/>
                <w:iCs/>
                <w:sz w:val="24"/>
                <w:szCs w:val="24"/>
              </w:rPr>
              <w:t>回复：</w:t>
            </w:r>
            <w:r>
              <w:rPr>
                <w:rFonts w:ascii="宋体" w:hAnsi="宋体" w:cs="宋体"/>
                <w:bCs/>
                <w:iCs/>
                <w:sz w:val="24"/>
                <w:szCs w:val="24"/>
              </w:rPr>
              <w:t>千里科技（原名力帆科技，股票代码：601777）是一家源于1992年、并于2010年在沪市上市的公司。近年来，公司通过一系列深刻的资本与战略重构，从传统制造商向智能驾驶科技公司的转型。</w:t>
            </w:r>
          </w:p>
          <w:p w14:paraId="3BACF712">
            <w:pPr>
              <w:rPr>
                <w:rFonts w:ascii="宋体" w:hAnsi="宋体" w:cs="宋体"/>
                <w:bCs/>
                <w:iCs/>
                <w:color w:val="auto"/>
                <w:sz w:val="24"/>
                <w:szCs w:val="24"/>
              </w:rPr>
            </w:pPr>
            <w:r>
              <w:rPr>
                <w:rFonts w:ascii="宋体" w:hAnsi="宋体" w:cs="宋体"/>
                <w:bCs/>
                <w:iCs/>
                <w:sz w:val="24"/>
                <w:szCs w:val="24"/>
              </w:rPr>
              <w:t>公司的发展历程清晰地勾勒出其转型路径：20</w:t>
            </w:r>
            <w:r>
              <w:rPr>
                <w:rFonts w:hint="eastAsia" w:ascii="宋体" w:hAnsi="宋体" w:cs="宋体"/>
                <w:bCs/>
                <w:iCs/>
                <w:sz w:val="24"/>
                <w:szCs w:val="24"/>
              </w:rPr>
              <w:t>20</w:t>
            </w:r>
            <w:r>
              <w:rPr>
                <w:rFonts w:ascii="宋体" w:hAnsi="宋体" w:cs="宋体"/>
                <w:bCs/>
                <w:iCs/>
                <w:sz w:val="24"/>
                <w:szCs w:val="24"/>
              </w:rPr>
              <w:t>年，在重庆市政府主导下，引入</w:t>
            </w:r>
            <w:r>
              <w:rPr>
                <w:rFonts w:hint="eastAsia" w:ascii="宋体" w:hAnsi="宋体" w:cs="宋体"/>
                <w:bCs/>
                <w:iCs/>
                <w:sz w:val="24"/>
                <w:szCs w:val="24"/>
              </w:rPr>
              <w:t>满江红基金和吉利系产业投资人</w:t>
            </w:r>
            <w:r>
              <w:rPr>
                <w:rFonts w:ascii="宋体" w:hAnsi="宋体" w:cs="宋体"/>
                <w:bCs/>
                <w:iCs/>
                <w:sz w:val="24"/>
                <w:szCs w:val="24"/>
              </w:rPr>
              <w:t>，</w:t>
            </w:r>
            <w:r>
              <w:rPr>
                <w:rFonts w:hint="eastAsia" w:ascii="宋体" w:hAnsi="宋体" w:cs="宋体"/>
                <w:bCs/>
                <w:iCs/>
                <w:sz w:val="24"/>
                <w:szCs w:val="24"/>
              </w:rPr>
              <w:t>2022年，公司与吉利汽车</w:t>
            </w:r>
            <w:r>
              <w:rPr>
                <w:rFonts w:ascii="宋体" w:hAnsi="宋体" w:cs="宋体"/>
                <w:bCs/>
                <w:iCs/>
                <w:sz w:val="24"/>
                <w:szCs w:val="24"/>
              </w:rPr>
              <w:t>合资成立睿蓝汽车；2024年，迎来关键</w:t>
            </w:r>
            <w:r>
              <w:rPr>
                <w:rFonts w:ascii="宋体" w:hAnsi="宋体" w:cs="宋体"/>
                <w:bCs/>
                <w:iCs/>
                <w:color w:val="auto"/>
                <w:sz w:val="24"/>
                <w:szCs w:val="24"/>
              </w:rPr>
              <w:t>转折，旷视科技创始人印奇成为重要股东，同时</w:t>
            </w:r>
            <w:r>
              <w:rPr>
                <w:rFonts w:hint="eastAsia" w:ascii="宋体" w:hAnsi="宋体" w:cs="宋体"/>
                <w:bCs/>
                <w:iCs/>
                <w:color w:val="auto"/>
                <w:sz w:val="24"/>
                <w:szCs w:val="24"/>
              </w:rPr>
              <w:t>前华为智能汽车解决方案(车)BU总裁</w:t>
            </w:r>
            <w:r>
              <w:rPr>
                <w:rFonts w:ascii="宋体" w:hAnsi="宋体" w:cs="宋体"/>
                <w:bCs/>
                <w:iCs/>
                <w:color w:val="auto"/>
                <w:sz w:val="24"/>
                <w:szCs w:val="24"/>
              </w:rPr>
              <w:t>王军等业界精英加盟，治理结构显著增强；随后，</w:t>
            </w:r>
            <w:r>
              <w:rPr>
                <w:rFonts w:hint="eastAsia" w:ascii="宋体" w:hAnsi="宋体" w:cs="宋体"/>
                <w:bCs/>
                <w:iCs/>
                <w:color w:val="auto"/>
                <w:sz w:val="24"/>
                <w:szCs w:val="24"/>
              </w:rPr>
              <w:t>奔驰数字受让3%老股</w:t>
            </w:r>
            <w:r>
              <w:rPr>
                <w:rFonts w:ascii="宋体" w:hAnsi="宋体" w:cs="宋体"/>
                <w:bCs/>
                <w:iCs/>
                <w:color w:val="auto"/>
                <w:sz w:val="24"/>
                <w:szCs w:val="24"/>
              </w:rPr>
              <w:t>，进一步夯实了资本与战略基础。</w:t>
            </w:r>
          </w:p>
          <w:p w14:paraId="6A5E027A">
            <w:pPr>
              <w:rPr>
                <w:rFonts w:ascii="宋体" w:hAnsi="宋体" w:cs="宋体"/>
                <w:bCs/>
                <w:iCs/>
                <w:sz w:val="24"/>
                <w:szCs w:val="24"/>
              </w:rPr>
            </w:pPr>
            <w:r>
              <w:rPr>
                <w:rFonts w:ascii="宋体" w:hAnsi="宋体" w:cs="宋体"/>
                <w:bCs/>
                <w:iCs/>
                <w:sz w:val="24"/>
                <w:szCs w:val="24"/>
              </w:rPr>
              <w:t>在此背景下，公司的业务核心已全面转向智能化。一方面，公司与吉利</w:t>
            </w:r>
            <w:r>
              <w:rPr>
                <w:rFonts w:hint="eastAsia" w:ascii="宋体" w:hAnsi="宋体" w:cs="宋体"/>
                <w:bCs/>
                <w:iCs/>
                <w:sz w:val="24"/>
                <w:szCs w:val="24"/>
              </w:rPr>
              <w:t>、</w:t>
            </w:r>
            <w:r>
              <w:rPr>
                <w:rFonts w:ascii="宋体" w:hAnsi="宋体" w:cs="宋体"/>
                <w:bCs/>
                <w:iCs/>
                <w:sz w:val="24"/>
                <w:szCs w:val="24"/>
              </w:rPr>
              <w:t>迈驰、路特斯合资组建“千里智驾”，并发布了面向全行业的软硬件一体智驾解决方案1.0版；另一方面，其自动驾驶出行服务（Robotaxi）已在成都率先</w:t>
            </w:r>
            <w:r>
              <w:rPr>
                <w:rFonts w:hint="eastAsia" w:ascii="宋体" w:hAnsi="宋体" w:cs="宋体"/>
                <w:bCs/>
                <w:iCs/>
                <w:sz w:val="24"/>
                <w:szCs w:val="24"/>
                <w:lang w:val="en-US" w:eastAsia="zh-CN"/>
              </w:rPr>
              <w:t>战略</w:t>
            </w:r>
            <w:r>
              <w:rPr>
                <w:rFonts w:ascii="宋体" w:hAnsi="宋体" w:cs="宋体"/>
                <w:bCs/>
                <w:iCs/>
                <w:sz w:val="24"/>
                <w:szCs w:val="24"/>
              </w:rPr>
              <w:t>落地。</w:t>
            </w:r>
            <w:r>
              <w:rPr>
                <w:rFonts w:hint="eastAsia" w:ascii="宋体" w:hAnsi="宋体" w:cs="宋体"/>
                <w:bCs/>
                <w:iCs/>
                <w:sz w:val="24"/>
                <w:szCs w:val="24"/>
              </w:rPr>
              <w:t>近期</w:t>
            </w:r>
            <w:r>
              <w:rPr>
                <w:rFonts w:ascii="宋体" w:hAnsi="宋体" w:cs="宋体"/>
                <w:bCs/>
                <w:iCs/>
                <w:sz w:val="24"/>
                <w:szCs w:val="24"/>
              </w:rPr>
              <w:t>，公司</w:t>
            </w:r>
            <w:r>
              <w:rPr>
                <w:rFonts w:hint="eastAsia" w:ascii="宋体" w:hAnsi="宋体" w:cs="宋体"/>
                <w:bCs/>
                <w:iCs/>
                <w:sz w:val="24"/>
                <w:szCs w:val="24"/>
              </w:rPr>
              <w:t>联合吉利</w:t>
            </w:r>
            <w:r>
              <w:rPr>
                <w:rFonts w:ascii="宋体" w:hAnsi="宋体" w:cs="宋体"/>
                <w:bCs/>
                <w:iCs/>
                <w:sz w:val="24"/>
                <w:szCs w:val="24"/>
              </w:rPr>
              <w:t>发布了覆盖L2至L4级别的</w:t>
            </w:r>
            <w:r>
              <w:rPr>
                <w:rFonts w:hint="eastAsia" w:ascii="宋体" w:hAnsi="宋体" w:cs="宋体"/>
                <w:bCs/>
                <w:iCs/>
                <w:sz w:val="24"/>
                <w:szCs w:val="24"/>
              </w:rPr>
              <w:t>千里浩瀚</w:t>
            </w:r>
            <w:r>
              <w:rPr>
                <w:rFonts w:ascii="宋体" w:hAnsi="宋体" w:cs="宋体"/>
                <w:bCs/>
                <w:iCs/>
                <w:sz w:val="24"/>
                <w:szCs w:val="24"/>
              </w:rPr>
              <w:t>G-ASD</w:t>
            </w:r>
            <w:r>
              <w:rPr>
                <w:rFonts w:hint="eastAsia" w:ascii="宋体" w:hAnsi="宋体" w:cs="宋体"/>
                <w:bCs/>
                <w:iCs/>
                <w:sz w:val="24"/>
                <w:szCs w:val="24"/>
              </w:rPr>
              <w:t>辅助驾驶</w:t>
            </w:r>
            <w:r>
              <w:rPr>
                <w:rFonts w:ascii="宋体" w:hAnsi="宋体" w:cs="宋体"/>
                <w:bCs/>
                <w:iCs/>
                <w:sz w:val="24"/>
                <w:szCs w:val="24"/>
              </w:rPr>
              <w:t>解决方案，该方案已搭载于极氪、领克品牌车型。</w:t>
            </w:r>
          </w:p>
          <w:p w14:paraId="48E0DB65">
            <w:pPr>
              <w:rPr>
                <w:rFonts w:ascii="宋体" w:hAnsi="宋体" w:cs="宋体"/>
                <w:bCs/>
                <w:iCs/>
                <w:sz w:val="24"/>
                <w:szCs w:val="24"/>
              </w:rPr>
            </w:pPr>
            <w:r>
              <w:rPr>
                <w:rFonts w:ascii="宋体" w:hAnsi="宋体" w:cs="宋体"/>
                <w:bCs/>
                <w:iCs/>
                <w:sz w:val="24"/>
                <w:szCs w:val="24"/>
              </w:rPr>
              <w:t>公司的传统汽车、摩托车等业务依然作为稳定的现金流基石，支撑着前沿探索。2025年，汽车销量同比增长近84%，</w:t>
            </w:r>
            <w:r>
              <w:rPr>
                <w:rFonts w:hint="eastAsia" w:ascii="宋体" w:hAnsi="宋体" w:cs="宋体"/>
                <w:bCs/>
                <w:iCs/>
                <w:sz w:val="24"/>
                <w:szCs w:val="24"/>
                <w:lang w:val="en-US" w:eastAsia="zh-CN"/>
              </w:rPr>
              <w:t>公司</w:t>
            </w:r>
            <w:r>
              <w:rPr>
                <w:rFonts w:ascii="宋体" w:hAnsi="宋体" w:cs="宋体"/>
                <w:bCs/>
                <w:iCs/>
                <w:sz w:val="24"/>
                <w:szCs w:val="24"/>
              </w:rPr>
              <w:t>前三季度营收69亿元。为支持未来发展，公司已于2025年递交港股上市申请，以进一步拓宽融资渠道。</w:t>
            </w:r>
          </w:p>
          <w:p w14:paraId="7347497D">
            <w:pPr>
              <w:rPr>
                <w:rFonts w:ascii="宋体" w:hAnsi="宋体" w:cs="宋体"/>
                <w:bCs/>
                <w:iCs/>
                <w:sz w:val="24"/>
                <w:szCs w:val="24"/>
              </w:rPr>
            </w:pPr>
          </w:p>
          <w:p w14:paraId="5CA5AF28">
            <w:pPr>
              <w:rPr>
                <w:rFonts w:ascii="宋体" w:hAnsi="宋体" w:cs="宋体"/>
                <w:bCs/>
                <w:iCs/>
                <w:sz w:val="24"/>
                <w:szCs w:val="24"/>
              </w:rPr>
            </w:pPr>
            <w:r>
              <w:rPr>
                <w:rFonts w:hint="eastAsia" w:ascii="宋体" w:hAnsi="宋体" w:cs="宋体"/>
                <w:bCs/>
                <w:iCs/>
                <w:sz w:val="24"/>
                <w:szCs w:val="24"/>
              </w:rPr>
              <w:t>2.团队融合提升驾驶安全性与脱困能力</w:t>
            </w:r>
          </w:p>
          <w:p w14:paraId="6D3B3A71">
            <w:pPr>
              <w:rPr>
                <w:rFonts w:ascii="宋体" w:hAnsi="宋体" w:cs="宋体"/>
                <w:bCs/>
                <w:iCs/>
                <w:sz w:val="24"/>
                <w:szCs w:val="24"/>
              </w:rPr>
            </w:pPr>
            <w:r>
              <w:rPr>
                <w:rFonts w:hint="eastAsia" w:ascii="宋体" w:hAnsi="宋体" w:cs="宋体"/>
                <w:bCs/>
                <w:iCs/>
                <w:sz w:val="24"/>
                <w:szCs w:val="24"/>
              </w:rPr>
              <w:t>回复：智驾系统2.0的迭代和脱困场景的提升得到了重点关注，并计划在明年交付的车型上逐步应用该系统。同时，公司正在向L3级别迈进，预计今年将完成准L3的准入。此外，公司的技术架构和模型参数量也有显著提升。然而，面向L3级别需要考虑的关键问题包括驾驶者脱手后可能出现的问题以及行业监管对此的关注。最后，公司在硬件配置和云端支架模型方面进行了持续迭代，以实现对L3级别的依赖。</w:t>
            </w:r>
          </w:p>
          <w:p w14:paraId="7756B186">
            <w:pPr>
              <w:rPr>
                <w:rFonts w:ascii="宋体" w:hAnsi="宋体" w:cs="宋体"/>
                <w:bCs/>
                <w:iCs/>
                <w:sz w:val="24"/>
                <w:szCs w:val="24"/>
              </w:rPr>
            </w:pPr>
          </w:p>
          <w:p w14:paraId="295B2BE6">
            <w:pPr>
              <w:pStyle w:val="16"/>
              <w:numPr>
                <w:ilvl w:val="0"/>
                <w:numId w:val="2"/>
              </w:numPr>
              <w:ind w:firstLineChars="0"/>
              <w:rPr>
                <w:rFonts w:ascii="宋体" w:hAnsi="宋体" w:cs="宋体"/>
                <w:bCs/>
                <w:iCs/>
                <w:sz w:val="24"/>
                <w:szCs w:val="24"/>
              </w:rPr>
            </w:pPr>
            <w:r>
              <w:rPr>
                <w:rFonts w:hint="eastAsia" w:ascii="宋体" w:hAnsi="宋体" w:cs="宋体"/>
                <w:bCs/>
                <w:iCs/>
                <w:sz w:val="24"/>
                <w:szCs w:val="24"/>
              </w:rPr>
              <w:t>技术问题探讨与特斯拉代码应用</w:t>
            </w:r>
          </w:p>
          <w:p w14:paraId="70210D40">
            <w:pPr>
              <w:rPr>
                <w:rFonts w:ascii="宋体" w:hAnsi="宋体" w:cs="宋体"/>
                <w:bCs/>
                <w:iCs/>
                <w:sz w:val="24"/>
                <w:szCs w:val="24"/>
              </w:rPr>
            </w:pPr>
            <w:r>
              <w:rPr>
                <w:rFonts w:hint="eastAsia" w:ascii="宋体" w:hAnsi="宋体" w:cs="宋体"/>
                <w:bCs/>
                <w:iCs/>
                <w:sz w:val="24"/>
                <w:szCs w:val="24"/>
              </w:rPr>
              <w:t>回复：关于社区技术的问题，包括传感器融合的难点和进度，算法的变化，特斯拉SD的端侧代码布局和国内厂商的反应速度提升方式等。其中强调了当前对模型驱动的接受程度以及传感器数据提供情况，数据颗粒度对识别结果的影响。</w:t>
            </w:r>
          </w:p>
          <w:p w14:paraId="19CE7043">
            <w:pPr>
              <w:rPr>
                <w:rFonts w:ascii="宋体" w:hAnsi="宋体"/>
                <w:sz w:val="24"/>
                <w:szCs w:val="24"/>
              </w:rPr>
            </w:pPr>
          </w:p>
          <w:p w14:paraId="595608A8">
            <w:pPr>
              <w:pStyle w:val="16"/>
              <w:numPr>
                <w:ilvl w:val="0"/>
                <w:numId w:val="3"/>
              </w:numPr>
              <w:ind w:firstLineChars="0"/>
              <w:rPr>
                <w:rFonts w:ascii="宋体" w:hAnsi="宋体"/>
                <w:sz w:val="24"/>
                <w:szCs w:val="24"/>
              </w:rPr>
            </w:pPr>
            <w:r>
              <w:rPr>
                <w:rFonts w:hint="eastAsia" w:ascii="宋体" w:hAnsi="宋体"/>
                <w:sz w:val="24"/>
                <w:szCs w:val="24"/>
              </w:rPr>
              <w:t>未来跟吉利汽车以及其他汽车厂商的合作</w:t>
            </w:r>
          </w:p>
          <w:p w14:paraId="4FFA0FD9">
            <w:pPr>
              <w:rPr>
                <w:rFonts w:ascii="宋体" w:hAnsi="宋体"/>
                <w:sz w:val="24"/>
                <w:szCs w:val="24"/>
              </w:rPr>
            </w:pPr>
            <w:r>
              <w:rPr>
                <w:rFonts w:hint="eastAsia" w:ascii="宋体" w:hAnsi="宋体" w:cs="宋体"/>
                <w:bCs/>
                <w:iCs/>
                <w:sz w:val="24"/>
                <w:szCs w:val="24"/>
              </w:rPr>
              <w:t>回复：</w:t>
            </w:r>
            <w:r>
              <w:rPr>
                <w:rFonts w:hint="eastAsia" w:ascii="宋体" w:hAnsi="宋体"/>
                <w:sz w:val="24"/>
                <w:szCs w:val="24"/>
              </w:rPr>
              <w:t>吉利汽车是我们重要的Alpha客户，在软硬件一体的方案上会进一步合作，同时还在积极商谈其他OEM厂商作为战略合作伙伴。</w:t>
            </w:r>
          </w:p>
          <w:p w14:paraId="177C24C2">
            <w:pPr>
              <w:rPr>
                <w:rFonts w:ascii="宋体" w:hAnsi="宋体"/>
                <w:sz w:val="24"/>
                <w:szCs w:val="24"/>
              </w:rPr>
            </w:pPr>
          </w:p>
          <w:p w14:paraId="149989A5">
            <w:pPr>
              <w:rPr>
                <w:rFonts w:ascii="宋体" w:hAnsi="宋体"/>
                <w:sz w:val="24"/>
                <w:szCs w:val="24"/>
              </w:rPr>
            </w:pPr>
            <w:r>
              <w:rPr>
                <w:rFonts w:hint="eastAsia" w:ascii="宋体" w:hAnsi="宋体"/>
                <w:sz w:val="24"/>
                <w:szCs w:val="24"/>
              </w:rPr>
              <w:t>5.面对OEM厂商的调价和出货量承压的挑战</w:t>
            </w:r>
          </w:p>
          <w:p w14:paraId="5B86FBC2">
            <w:pPr>
              <w:rPr>
                <w:rFonts w:ascii="宋体" w:hAnsi="宋体" w:cs="宋体"/>
                <w:bCs/>
                <w:iCs/>
                <w:sz w:val="24"/>
                <w:szCs w:val="24"/>
              </w:rPr>
            </w:pPr>
            <w:r>
              <w:rPr>
                <w:rFonts w:hint="eastAsia" w:ascii="宋体" w:hAnsi="宋体"/>
                <w:sz w:val="24"/>
                <w:szCs w:val="24"/>
              </w:rPr>
              <w:t>回复：市场面临OEM的价格调价压力和出货量承压,但从大客户和战略客户可以处获得快速增长。同时,芯片价格与报价及硬件成本在总价格中的占比,以及不同车型和车间的数据是有差异的。此外,软硬件一体方案对旗舰车型座舱的重要性,公司侧重发展软硬件一体的方案提供。</w:t>
            </w:r>
          </w:p>
        </w:tc>
      </w:tr>
      <w:tr w14:paraId="00B4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908" w:type="dxa"/>
            <w:tcBorders>
              <w:top w:val="single" w:color="auto" w:sz="4" w:space="0"/>
              <w:left w:val="single" w:color="auto" w:sz="4" w:space="0"/>
              <w:bottom w:val="single" w:color="auto" w:sz="4" w:space="0"/>
              <w:right w:val="single" w:color="auto" w:sz="4" w:space="0"/>
            </w:tcBorders>
            <w:vAlign w:val="center"/>
          </w:tcPr>
          <w:p w14:paraId="550246CC">
            <w:pPr>
              <w:rPr>
                <w:rFonts w:ascii="宋体" w:hAnsi="宋体" w:cs="宋体"/>
                <w:bCs/>
                <w:iCs/>
                <w:sz w:val="24"/>
                <w:szCs w:val="24"/>
              </w:rPr>
            </w:pPr>
            <w:r>
              <w:rPr>
                <w:sz w:val="24"/>
              </w:rPr>
              <w:t>关于本次活动是否涉及应当披露重大信息的说明</w:t>
            </w:r>
          </w:p>
        </w:tc>
        <w:tc>
          <w:tcPr>
            <w:tcW w:w="6614" w:type="dxa"/>
            <w:tcBorders>
              <w:top w:val="single" w:color="auto" w:sz="4" w:space="0"/>
              <w:left w:val="single" w:color="auto" w:sz="4" w:space="0"/>
              <w:bottom w:val="single" w:color="auto" w:sz="4" w:space="0"/>
              <w:right w:val="single" w:color="auto" w:sz="4" w:space="0"/>
            </w:tcBorders>
            <w:vAlign w:val="center"/>
          </w:tcPr>
          <w:p w14:paraId="2628FD7E">
            <w:pPr>
              <w:rPr>
                <w:rFonts w:ascii="宋体" w:hAnsi="宋体" w:cs="宋体"/>
                <w:bCs/>
                <w:iCs/>
                <w:sz w:val="24"/>
                <w:szCs w:val="24"/>
              </w:rPr>
            </w:pPr>
            <w:r>
              <w:rPr>
                <w:rFonts w:hint="eastAsia" w:ascii="宋体" w:hAnsi="宋体" w:cs="宋体"/>
                <w:bCs/>
                <w:iCs/>
                <w:sz w:val="24"/>
                <w:szCs w:val="24"/>
              </w:rPr>
              <w:t>本次活动不涉及应当披露的重大信息</w:t>
            </w:r>
          </w:p>
        </w:tc>
      </w:tr>
      <w:tr w14:paraId="3D1D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908" w:type="dxa"/>
            <w:tcBorders>
              <w:top w:val="single" w:color="auto" w:sz="4" w:space="0"/>
              <w:left w:val="single" w:color="auto" w:sz="4" w:space="0"/>
              <w:bottom w:val="single" w:color="auto" w:sz="4" w:space="0"/>
              <w:right w:val="single" w:color="auto" w:sz="4" w:space="0"/>
            </w:tcBorders>
            <w:vAlign w:val="center"/>
          </w:tcPr>
          <w:p w14:paraId="5C1FE2C8">
            <w:pPr>
              <w:rPr>
                <w:rFonts w:ascii="宋体" w:hAnsi="宋体" w:cs="宋体"/>
                <w:bCs/>
                <w:iCs/>
                <w:sz w:val="24"/>
                <w:szCs w:val="24"/>
              </w:rPr>
            </w:pPr>
            <w:r>
              <w:rPr>
                <w:rFonts w:hint="eastAsia" w:ascii="宋体" w:hAnsi="宋体" w:cs="宋体"/>
                <w:bCs/>
                <w:iCs/>
                <w:sz w:val="24"/>
                <w:szCs w:val="24"/>
              </w:rPr>
              <w:t>附件清单（如有）</w:t>
            </w:r>
          </w:p>
        </w:tc>
        <w:tc>
          <w:tcPr>
            <w:tcW w:w="6614" w:type="dxa"/>
            <w:tcBorders>
              <w:top w:val="single" w:color="auto" w:sz="4" w:space="0"/>
              <w:left w:val="single" w:color="auto" w:sz="4" w:space="0"/>
              <w:bottom w:val="single" w:color="auto" w:sz="4" w:space="0"/>
              <w:right w:val="single" w:color="auto" w:sz="4" w:space="0"/>
            </w:tcBorders>
            <w:vAlign w:val="center"/>
          </w:tcPr>
          <w:p w14:paraId="0D3CFA8B">
            <w:pPr>
              <w:widowControl/>
              <w:rPr>
                <w:rFonts w:ascii="宋体" w:hAnsi="宋体" w:cs="宋体"/>
                <w:bCs/>
                <w:iCs/>
                <w:sz w:val="24"/>
                <w:szCs w:val="24"/>
              </w:rPr>
            </w:pPr>
            <w:r>
              <w:rPr>
                <w:rFonts w:hint="eastAsia" w:ascii="宋体" w:hAnsi="宋体" w:cs="宋体"/>
                <w:bCs/>
                <w:iCs/>
                <w:sz w:val="24"/>
                <w:szCs w:val="24"/>
              </w:rPr>
              <w:t>无</w:t>
            </w:r>
          </w:p>
        </w:tc>
      </w:tr>
    </w:tbl>
    <w:p w14:paraId="6F7804D7">
      <w:pPr>
        <w:rPr>
          <w:vanish/>
        </w:rPr>
      </w:pPr>
    </w:p>
    <w:p w14:paraId="720C763A">
      <w:pPr>
        <w:rPr>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63FAF"/>
    <w:multiLevelType w:val="singleLevel"/>
    <w:tmpl w:val="B2563FAF"/>
    <w:lvl w:ilvl="0" w:tentative="0">
      <w:start w:val="1"/>
      <w:numFmt w:val="decimal"/>
      <w:suff w:val="nothing"/>
      <w:lvlText w:val="%1．"/>
      <w:lvlJc w:val="left"/>
      <w:pPr>
        <w:ind w:left="0" w:firstLine="400"/>
      </w:pPr>
      <w:rPr>
        <w:rFonts w:hint="default"/>
      </w:rPr>
    </w:lvl>
  </w:abstractNum>
  <w:abstractNum w:abstractNumId="1">
    <w:nsid w:val="216F6296"/>
    <w:multiLevelType w:val="multilevel"/>
    <w:tmpl w:val="216F6296"/>
    <w:lvl w:ilvl="0" w:tentative="0">
      <w:start w:val="3"/>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2ED4B30"/>
    <w:multiLevelType w:val="multilevel"/>
    <w:tmpl w:val="72ED4B30"/>
    <w:lvl w:ilvl="0" w:tentative="0">
      <w:start w:val="4"/>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4NGIwNDcyZWM3MDg2YTlmOTZmODM4NTZiOGY4NGMifQ=="/>
  </w:docVars>
  <w:rsids>
    <w:rsidRoot w:val="493A274D"/>
    <w:rsid w:val="000B37A3"/>
    <w:rsid w:val="000B44D3"/>
    <w:rsid w:val="000D3195"/>
    <w:rsid w:val="0011651D"/>
    <w:rsid w:val="00131567"/>
    <w:rsid w:val="00150FB8"/>
    <w:rsid w:val="001538EC"/>
    <w:rsid w:val="00194988"/>
    <w:rsid w:val="002D7559"/>
    <w:rsid w:val="00342DF2"/>
    <w:rsid w:val="003907BD"/>
    <w:rsid w:val="003920A0"/>
    <w:rsid w:val="003B76AA"/>
    <w:rsid w:val="0040799B"/>
    <w:rsid w:val="004108A1"/>
    <w:rsid w:val="004209CD"/>
    <w:rsid w:val="00433298"/>
    <w:rsid w:val="004A7D33"/>
    <w:rsid w:val="004E3C5E"/>
    <w:rsid w:val="004F1DE1"/>
    <w:rsid w:val="00577306"/>
    <w:rsid w:val="005C48B6"/>
    <w:rsid w:val="005F5B65"/>
    <w:rsid w:val="00643C50"/>
    <w:rsid w:val="00727D52"/>
    <w:rsid w:val="0073633B"/>
    <w:rsid w:val="008662F6"/>
    <w:rsid w:val="00885FE9"/>
    <w:rsid w:val="008B02B2"/>
    <w:rsid w:val="008B7CBB"/>
    <w:rsid w:val="00943F5C"/>
    <w:rsid w:val="00947E52"/>
    <w:rsid w:val="00963A45"/>
    <w:rsid w:val="0097036B"/>
    <w:rsid w:val="0098160F"/>
    <w:rsid w:val="009A1F1E"/>
    <w:rsid w:val="009A470E"/>
    <w:rsid w:val="009F68AF"/>
    <w:rsid w:val="00A34F53"/>
    <w:rsid w:val="00A50A18"/>
    <w:rsid w:val="00A6248B"/>
    <w:rsid w:val="00AB44D5"/>
    <w:rsid w:val="00AE3752"/>
    <w:rsid w:val="00B234DF"/>
    <w:rsid w:val="00B855D7"/>
    <w:rsid w:val="00BD110C"/>
    <w:rsid w:val="00BD2A9C"/>
    <w:rsid w:val="00C9722B"/>
    <w:rsid w:val="00CC76F4"/>
    <w:rsid w:val="00CF0C81"/>
    <w:rsid w:val="00D044EB"/>
    <w:rsid w:val="00DB0956"/>
    <w:rsid w:val="00DB4621"/>
    <w:rsid w:val="00DE596D"/>
    <w:rsid w:val="00DF5B36"/>
    <w:rsid w:val="00E55C77"/>
    <w:rsid w:val="00E61ADC"/>
    <w:rsid w:val="00E93B7E"/>
    <w:rsid w:val="00EA1E82"/>
    <w:rsid w:val="00F40DEE"/>
    <w:rsid w:val="00F91AFA"/>
    <w:rsid w:val="00F93D7A"/>
    <w:rsid w:val="013A4958"/>
    <w:rsid w:val="0146246E"/>
    <w:rsid w:val="014A26E1"/>
    <w:rsid w:val="018F0E78"/>
    <w:rsid w:val="01967485"/>
    <w:rsid w:val="01BF5686"/>
    <w:rsid w:val="01E614DD"/>
    <w:rsid w:val="01F95A93"/>
    <w:rsid w:val="0218183D"/>
    <w:rsid w:val="02934335"/>
    <w:rsid w:val="02AE68AF"/>
    <w:rsid w:val="02C247AE"/>
    <w:rsid w:val="033F6241"/>
    <w:rsid w:val="037C15AD"/>
    <w:rsid w:val="042A4EC4"/>
    <w:rsid w:val="04620E04"/>
    <w:rsid w:val="048D195A"/>
    <w:rsid w:val="049F57FE"/>
    <w:rsid w:val="04FE5637"/>
    <w:rsid w:val="050B39E6"/>
    <w:rsid w:val="05251DE5"/>
    <w:rsid w:val="053138D4"/>
    <w:rsid w:val="05B023A4"/>
    <w:rsid w:val="05F05BAB"/>
    <w:rsid w:val="067A2B8B"/>
    <w:rsid w:val="069229F8"/>
    <w:rsid w:val="06B56F46"/>
    <w:rsid w:val="06CE0EAF"/>
    <w:rsid w:val="0780281E"/>
    <w:rsid w:val="07D93108"/>
    <w:rsid w:val="08035A16"/>
    <w:rsid w:val="08562CE8"/>
    <w:rsid w:val="08852541"/>
    <w:rsid w:val="0890371A"/>
    <w:rsid w:val="08C534BB"/>
    <w:rsid w:val="09243AC5"/>
    <w:rsid w:val="095F38C8"/>
    <w:rsid w:val="09921729"/>
    <w:rsid w:val="0A0276D6"/>
    <w:rsid w:val="0A0342E9"/>
    <w:rsid w:val="0A3858C9"/>
    <w:rsid w:val="0A727E8E"/>
    <w:rsid w:val="0A991AB3"/>
    <w:rsid w:val="0AA86C32"/>
    <w:rsid w:val="0AF00CC5"/>
    <w:rsid w:val="0B293A5F"/>
    <w:rsid w:val="0B2D611B"/>
    <w:rsid w:val="0B382AA3"/>
    <w:rsid w:val="0B742D43"/>
    <w:rsid w:val="0B8C4E21"/>
    <w:rsid w:val="0C050798"/>
    <w:rsid w:val="0C2B42CB"/>
    <w:rsid w:val="0CC6187A"/>
    <w:rsid w:val="0CC90541"/>
    <w:rsid w:val="0D14156B"/>
    <w:rsid w:val="0D300E2A"/>
    <w:rsid w:val="0DC161D1"/>
    <w:rsid w:val="0DCD62F4"/>
    <w:rsid w:val="0E170543"/>
    <w:rsid w:val="0E214D9D"/>
    <w:rsid w:val="0E5B60C3"/>
    <w:rsid w:val="0E800F2B"/>
    <w:rsid w:val="0EE046D9"/>
    <w:rsid w:val="0F251AA6"/>
    <w:rsid w:val="0FCC716B"/>
    <w:rsid w:val="0FF5178D"/>
    <w:rsid w:val="0FF7412C"/>
    <w:rsid w:val="10295E18"/>
    <w:rsid w:val="106266AB"/>
    <w:rsid w:val="107A6B0B"/>
    <w:rsid w:val="116C28F7"/>
    <w:rsid w:val="11B7516C"/>
    <w:rsid w:val="12D76BA9"/>
    <w:rsid w:val="13276D39"/>
    <w:rsid w:val="134B421D"/>
    <w:rsid w:val="13C870C8"/>
    <w:rsid w:val="148131C1"/>
    <w:rsid w:val="149745E3"/>
    <w:rsid w:val="14D25125"/>
    <w:rsid w:val="15862DE4"/>
    <w:rsid w:val="16786CCF"/>
    <w:rsid w:val="16875F60"/>
    <w:rsid w:val="16BD154C"/>
    <w:rsid w:val="16CB272E"/>
    <w:rsid w:val="16FA111C"/>
    <w:rsid w:val="174543FE"/>
    <w:rsid w:val="17924700"/>
    <w:rsid w:val="17AD6819"/>
    <w:rsid w:val="17BA4FFA"/>
    <w:rsid w:val="17F7378E"/>
    <w:rsid w:val="182A5648"/>
    <w:rsid w:val="186F6D84"/>
    <w:rsid w:val="193D08CB"/>
    <w:rsid w:val="193E1B5D"/>
    <w:rsid w:val="19731801"/>
    <w:rsid w:val="19736C7A"/>
    <w:rsid w:val="19752F56"/>
    <w:rsid w:val="198B34A8"/>
    <w:rsid w:val="19AF13A3"/>
    <w:rsid w:val="19E675F9"/>
    <w:rsid w:val="19F60960"/>
    <w:rsid w:val="1A146A9A"/>
    <w:rsid w:val="1A221AAC"/>
    <w:rsid w:val="1A2E44DA"/>
    <w:rsid w:val="1A511DFF"/>
    <w:rsid w:val="1A525767"/>
    <w:rsid w:val="1A891898"/>
    <w:rsid w:val="1AB90B6F"/>
    <w:rsid w:val="1B025336"/>
    <w:rsid w:val="1B2E158D"/>
    <w:rsid w:val="1B7504F7"/>
    <w:rsid w:val="1C023119"/>
    <w:rsid w:val="1C0C10F3"/>
    <w:rsid w:val="1C5D463E"/>
    <w:rsid w:val="1C647A98"/>
    <w:rsid w:val="1C7F12A0"/>
    <w:rsid w:val="1CA06B02"/>
    <w:rsid w:val="1CC8316B"/>
    <w:rsid w:val="1D454396"/>
    <w:rsid w:val="1D4C102E"/>
    <w:rsid w:val="1E040809"/>
    <w:rsid w:val="1E1103F2"/>
    <w:rsid w:val="1E2B2EE3"/>
    <w:rsid w:val="1E5E09FB"/>
    <w:rsid w:val="1EB24651"/>
    <w:rsid w:val="1EF21616"/>
    <w:rsid w:val="1F01176E"/>
    <w:rsid w:val="1F2B2044"/>
    <w:rsid w:val="1F4C5B16"/>
    <w:rsid w:val="1F766517"/>
    <w:rsid w:val="1F7716B2"/>
    <w:rsid w:val="1F7812C6"/>
    <w:rsid w:val="1F7F78A9"/>
    <w:rsid w:val="1FDB043E"/>
    <w:rsid w:val="200D5878"/>
    <w:rsid w:val="203B039C"/>
    <w:rsid w:val="206612F6"/>
    <w:rsid w:val="20B36FFF"/>
    <w:rsid w:val="20D858B3"/>
    <w:rsid w:val="20EF284D"/>
    <w:rsid w:val="212136FE"/>
    <w:rsid w:val="213F699C"/>
    <w:rsid w:val="216F3E17"/>
    <w:rsid w:val="21A3389D"/>
    <w:rsid w:val="21B73BD6"/>
    <w:rsid w:val="222D626C"/>
    <w:rsid w:val="2230437A"/>
    <w:rsid w:val="22B57B24"/>
    <w:rsid w:val="23086DE2"/>
    <w:rsid w:val="23260EAB"/>
    <w:rsid w:val="234D149D"/>
    <w:rsid w:val="23725130"/>
    <w:rsid w:val="23960811"/>
    <w:rsid w:val="23F7716D"/>
    <w:rsid w:val="23FE1CD5"/>
    <w:rsid w:val="24460840"/>
    <w:rsid w:val="24607920"/>
    <w:rsid w:val="24911995"/>
    <w:rsid w:val="24941163"/>
    <w:rsid w:val="24C746D4"/>
    <w:rsid w:val="255657D2"/>
    <w:rsid w:val="25A47F00"/>
    <w:rsid w:val="25C41FB9"/>
    <w:rsid w:val="25E91DEE"/>
    <w:rsid w:val="26314015"/>
    <w:rsid w:val="26964850"/>
    <w:rsid w:val="269C6D7A"/>
    <w:rsid w:val="26DF431D"/>
    <w:rsid w:val="270C67E2"/>
    <w:rsid w:val="270E366C"/>
    <w:rsid w:val="271E6FE6"/>
    <w:rsid w:val="272E0923"/>
    <w:rsid w:val="273A77E3"/>
    <w:rsid w:val="275C4FC4"/>
    <w:rsid w:val="277B343D"/>
    <w:rsid w:val="27886139"/>
    <w:rsid w:val="27BF3329"/>
    <w:rsid w:val="27E5575B"/>
    <w:rsid w:val="27EE4BBD"/>
    <w:rsid w:val="283C698F"/>
    <w:rsid w:val="283D06F2"/>
    <w:rsid w:val="28C7450D"/>
    <w:rsid w:val="28CC40DC"/>
    <w:rsid w:val="292464D5"/>
    <w:rsid w:val="29396FE6"/>
    <w:rsid w:val="296123F9"/>
    <w:rsid w:val="29676259"/>
    <w:rsid w:val="2995095C"/>
    <w:rsid w:val="29D63BF0"/>
    <w:rsid w:val="29E02CD1"/>
    <w:rsid w:val="2AA46831"/>
    <w:rsid w:val="2B075A43"/>
    <w:rsid w:val="2B4B2F56"/>
    <w:rsid w:val="2B4F2AB2"/>
    <w:rsid w:val="2B5A7295"/>
    <w:rsid w:val="2B735FA9"/>
    <w:rsid w:val="2B8B3C04"/>
    <w:rsid w:val="2B8D7CC4"/>
    <w:rsid w:val="2BCB3BB8"/>
    <w:rsid w:val="2C1572F0"/>
    <w:rsid w:val="2C4E1D99"/>
    <w:rsid w:val="2C800095"/>
    <w:rsid w:val="2C964F80"/>
    <w:rsid w:val="2CAA0127"/>
    <w:rsid w:val="2CB11689"/>
    <w:rsid w:val="2CD47877"/>
    <w:rsid w:val="2CE15995"/>
    <w:rsid w:val="2CEE58E5"/>
    <w:rsid w:val="2CF04C15"/>
    <w:rsid w:val="2D8E7697"/>
    <w:rsid w:val="2E024FFE"/>
    <w:rsid w:val="2E590D54"/>
    <w:rsid w:val="2E662152"/>
    <w:rsid w:val="2EA51A7A"/>
    <w:rsid w:val="2F280993"/>
    <w:rsid w:val="2F62420F"/>
    <w:rsid w:val="2F902313"/>
    <w:rsid w:val="2FC75471"/>
    <w:rsid w:val="2FD45DE0"/>
    <w:rsid w:val="30095AC2"/>
    <w:rsid w:val="304D05A1"/>
    <w:rsid w:val="30620D37"/>
    <w:rsid w:val="30624903"/>
    <w:rsid w:val="309B06D0"/>
    <w:rsid w:val="30AF5A2C"/>
    <w:rsid w:val="310B34C5"/>
    <w:rsid w:val="31763FF4"/>
    <w:rsid w:val="31D645E6"/>
    <w:rsid w:val="31E72BF8"/>
    <w:rsid w:val="31F63C9F"/>
    <w:rsid w:val="32213984"/>
    <w:rsid w:val="32810B4D"/>
    <w:rsid w:val="33617B99"/>
    <w:rsid w:val="33774C3E"/>
    <w:rsid w:val="33933192"/>
    <w:rsid w:val="33A677AC"/>
    <w:rsid w:val="33E475F4"/>
    <w:rsid w:val="34A916C2"/>
    <w:rsid w:val="351A769C"/>
    <w:rsid w:val="35227BD5"/>
    <w:rsid w:val="35583604"/>
    <w:rsid w:val="358C1ADF"/>
    <w:rsid w:val="359130D0"/>
    <w:rsid w:val="35C275C5"/>
    <w:rsid w:val="35C9034A"/>
    <w:rsid w:val="360278A7"/>
    <w:rsid w:val="36580EA7"/>
    <w:rsid w:val="36783529"/>
    <w:rsid w:val="37143B06"/>
    <w:rsid w:val="371C3939"/>
    <w:rsid w:val="371C4453"/>
    <w:rsid w:val="37603B79"/>
    <w:rsid w:val="38211BE5"/>
    <w:rsid w:val="38794EB2"/>
    <w:rsid w:val="3891605F"/>
    <w:rsid w:val="38975EC3"/>
    <w:rsid w:val="389968C5"/>
    <w:rsid w:val="38B30C88"/>
    <w:rsid w:val="38D34C95"/>
    <w:rsid w:val="39273424"/>
    <w:rsid w:val="39B568AE"/>
    <w:rsid w:val="39F540C7"/>
    <w:rsid w:val="3A113AA7"/>
    <w:rsid w:val="3A5D0E46"/>
    <w:rsid w:val="3A873793"/>
    <w:rsid w:val="3AFA02EA"/>
    <w:rsid w:val="3B2D645F"/>
    <w:rsid w:val="3B4E6A46"/>
    <w:rsid w:val="3BA92D00"/>
    <w:rsid w:val="3BB0325D"/>
    <w:rsid w:val="3BC903A6"/>
    <w:rsid w:val="3BD403D0"/>
    <w:rsid w:val="3CA8133C"/>
    <w:rsid w:val="3CB00786"/>
    <w:rsid w:val="3D201421"/>
    <w:rsid w:val="3DE22221"/>
    <w:rsid w:val="3E0755D2"/>
    <w:rsid w:val="3EF11FA7"/>
    <w:rsid w:val="3F101C46"/>
    <w:rsid w:val="3F1E47CD"/>
    <w:rsid w:val="3F2B5B2C"/>
    <w:rsid w:val="3F9A4CD2"/>
    <w:rsid w:val="3FA6282D"/>
    <w:rsid w:val="3FA95489"/>
    <w:rsid w:val="3FD37BD9"/>
    <w:rsid w:val="3FEB7AEB"/>
    <w:rsid w:val="3FEE7933"/>
    <w:rsid w:val="40510A2D"/>
    <w:rsid w:val="405E2183"/>
    <w:rsid w:val="406F5026"/>
    <w:rsid w:val="40B20C7B"/>
    <w:rsid w:val="40D1333F"/>
    <w:rsid w:val="415666C4"/>
    <w:rsid w:val="41F042AF"/>
    <w:rsid w:val="41F87936"/>
    <w:rsid w:val="42077E5C"/>
    <w:rsid w:val="42447784"/>
    <w:rsid w:val="424B5F1F"/>
    <w:rsid w:val="425275DA"/>
    <w:rsid w:val="42540C2F"/>
    <w:rsid w:val="425677DC"/>
    <w:rsid w:val="42BA10E0"/>
    <w:rsid w:val="42D2723B"/>
    <w:rsid w:val="430753ED"/>
    <w:rsid w:val="431805A4"/>
    <w:rsid w:val="434045A4"/>
    <w:rsid w:val="439B014E"/>
    <w:rsid w:val="43AB26E5"/>
    <w:rsid w:val="43D3678A"/>
    <w:rsid w:val="43DA68F3"/>
    <w:rsid w:val="43F3334F"/>
    <w:rsid w:val="441D0B59"/>
    <w:rsid w:val="44305C62"/>
    <w:rsid w:val="448A67A6"/>
    <w:rsid w:val="44914A02"/>
    <w:rsid w:val="45100E05"/>
    <w:rsid w:val="454E65FA"/>
    <w:rsid w:val="459814E1"/>
    <w:rsid w:val="45C014AB"/>
    <w:rsid w:val="46037DA8"/>
    <w:rsid w:val="46691365"/>
    <w:rsid w:val="46856BC1"/>
    <w:rsid w:val="46865F3D"/>
    <w:rsid w:val="46AC3AE4"/>
    <w:rsid w:val="47EE3268"/>
    <w:rsid w:val="48073992"/>
    <w:rsid w:val="48D841B7"/>
    <w:rsid w:val="493A274D"/>
    <w:rsid w:val="493D57A2"/>
    <w:rsid w:val="49B53CE7"/>
    <w:rsid w:val="4A0D7179"/>
    <w:rsid w:val="4ABF7448"/>
    <w:rsid w:val="4B210EC1"/>
    <w:rsid w:val="4B355159"/>
    <w:rsid w:val="4B5871CE"/>
    <w:rsid w:val="4B644667"/>
    <w:rsid w:val="4B990D99"/>
    <w:rsid w:val="4BBA0128"/>
    <w:rsid w:val="4BCE14DD"/>
    <w:rsid w:val="4BD741AC"/>
    <w:rsid w:val="4C0B0F6D"/>
    <w:rsid w:val="4D0F6747"/>
    <w:rsid w:val="4D20049B"/>
    <w:rsid w:val="4D355172"/>
    <w:rsid w:val="4D6635BD"/>
    <w:rsid w:val="4D7D7DE8"/>
    <w:rsid w:val="4D806B0E"/>
    <w:rsid w:val="4DB77786"/>
    <w:rsid w:val="4DBA49D4"/>
    <w:rsid w:val="4DF11D89"/>
    <w:rsid w:val="4EBF2A3C"/>
    <w:rsid w:val="4EC61076"/>
    <w:rsid w:val="4F0E4107"/>
    <w:rsid w:val="4F0E6295"/>
    <w:rsid w:val="4F232622"/>
    <w:rsid w:val="4F2C0817"/>
    <w:rsid w:val="4F90367A"/>
    <w:rsid w:val="4FD51E7F"/>
    <w:rsid w:val="4FFA6D90"/>
    <w:rsid w:val="50CA14DF"/>
    <w:rsid w:val="50E02504"/>
    <w:rsid w:val="50F91B9A"/>
    <w:rsid w:val="51142088"/>
    <w:rsid w:val="511712CC"/>
    <w:rsid w:val="511F0AE0"/>
    <w:rsid w:val="514C35D0"/>
    <w:rsid w:val="51752912"/>
    <w:rsid w:val="51C370F3"/>
    <w:rsid w:val="51D34799"/>
    <w:rsid w:val="51F353CF"/>
    <w:rsid w:val="524719CE"/>
    <w:rsid w:val="52481E5E"/>
    <w:rsid w:val="528E5578"/>
    <w:rsid w:val="53EF665E"/>
    <w:rsid w:val="5438774A"/>
    <w:rsid w:val="55375A25"/>
    <w:rsid w:val="555F6EB8"/>
    <w:rsid w:val="5606317F"/>
    <w:rsid w:val="564B433F"/>
    <w:rsid w:val="568828F0"/>
    <w:rsid w:val="56C04267"/>
    <w:rsid w:val="56C6791C"/>
    <w:rsid w:val="56D24C32"/>
    <w:rsid w:val="56FB398B"/>
    <w:rsid w:val="5731090B"/>
    <w:rsid w:val="57340315"/>
    <w:rsid w:val="57982B97"/>
    <w:rsid w:val="58371B97"/>
    <w:rsid w:val="58491100"/>
    <w:rsid w:val="58575D18"/>
    <w:rsid w:val="587364EF"/>
    <w:rsid w:val="58E9548E"/>
    <w:rsid w:val="595D621A"/>
    <w:rsid w:val="5964788E"/>
    <w:rsid w:val="5972697B"/>
    <w:rsid w:val="599447AF"/>
    <w:rsid w:val="59E06DB9"/>
    <w:rsid w:val="59EF0BEF"/>
    <w:rsid w:val="59F1740B"/>
    <w:rsid w:val="5A3E01E7"/>
    <w:rsid w:val="5A6D1F21"/>
    <w:rsid w:val="5A6E5C7B"/>
    <w:rsid w:val="5A813988"/>
    <w:rsid w:val="5BC522BB"/>
    <w:rsid w:val="5BE87CD4"/>
    <w:rsid w:val="5BFE3054"/>
    <w:rsid w:val="5C15705C"/>
    <w:rsid w:val="5C4F161D"/>
    <w:rsid w:val="5C716E94"/>
    <w:rsid w:val="5C7878B1"/>
    <w:rsid w:val="5CDF205A"/>
    <w:rsid w:val="5CF71228"/>
    <w:rsid w:val="5D0D7CA5"/>
    <w:rsid w:val="5D424198"/>
    <w:rsid w:val="5D820C77"/>
    <w:rsid w:val="5D873A77"/>
    <w:rsid w:val="5DAF4C1B"/>
    <w:rsid w:val="5E2C0F7D"/>
    <w:rsid w:val="5E3117A7"/>
    <w:rsid w:val="5E403EE7"/>
    <w:rsid w:val="5E837E26"/>
    <w:rsid w:val="5ED03A93"/>
    <w:rsid w:val="5EF05598"/>
    <w:rsid w:val="5EF05CB7"/>
    <w:rsid w:val="5F155A25"/>
    <w:rsid w:val="5FB707AE"/>
    <w:rsid w:val="5FCE7FFE"/>
    <w:rsid w:val="601C7A90"/>
    <w:rsid w:val="60296DE8"/>
    <w:rsid w:val="60C62554"/>
    <w:rsid w:val="610C420E"/>
    <w:rsid w:val="61147339"/>
    <w:rsid w:val="611B7262"/>
    <w:rsid w:val="61571ABE"/>
    <w:rsid w:val="616816BC"/>
    <w:rsid w:val="61EA69A8"/>
    <w:rsid w:val="620D2908"/>
    <w:rsid w:val="62527017"/>
    <w:rsid w:val="62754D37"/>
    <w:rsid w:val="627F30FA"/>
    <w:rsid w:val="62AD2979"/>
    <w:rsid w:val="62D4066B"/>
    <w:rsid w:val="63336DF4"/>
    <w:rsid w:val="6357446E"/>
    <w:rsid w:val="63904276"/>
    <w:rsid w:val="63C17980"/>
    <w:rsid w:val="63E91966"/>
    <w:rsid w:val="642226D2"/>
    <w:rsid w:val="643E5790"/>
    <w:rsid w:val="64552344"/>
    <w:rsid w:val="64A51ECC"/>
    <w:rsid w:val="65527417"/>
    <w:rsid w:val="65A2617E"/>
    <w:rsid w:val="661E1587"/>
    <w:rsid w:val="664A62D0"/>
    <w:rsid w:val="66634206"/>
    <w:rsid w:val="666D1BC7"/>
    <w:rsid w:val="66882EA5"/>
    <w:rsid w:val="66A76E0C"/>
    <w:rsid w:val="66CB4B3F"/>
    <w:rsid w:val="66E70B06"/>
    <w:rsid w:val="66F741BB"/>
    <w:rsid w:val="67280BA1"/>
    <w:rsid w:val="67344AEB"/>
    <w:rsid w:val="674249B9"/>
    <w:rsid w:val="6755678B"/>
    <w:rsid w:val="680C4929"/>
    <w:rsid w:val="682C6B15"/>
    <w:rsid w:val="685E4524"/>
    <w:rsid w:val="686B3E4F"/>
    <w:rsid w:val="69083E29"/>
    <w:rsid w:val="699C4118"/>
    <w:rsid w:val="69C275FD"/>
    <w:rsid w:val="69F14D6B"/>
    <w:rsid w:val="6A0435BC"/>
    <w:rsid w:val="6A5F34F1"/>
    <w:rsid w:val="6A6C0D7A"/>
    <w:rsid w:val="6A940DC6"/>
    <w:rsid w:val="6AC83272"/>
    <w:rsid w:val="6B0C5E52"/>
    <w:rsid w:val="6B5E5F82"/>
    <w:rsid w:val="6B8E2B91"/>
    <w:rsid w:val="6B9619A2"/>
    <w:rsid w:val="6B9D76F1"/>
    <w:rsid w:val="6BAE3B77"/>
    <w:rsid w:val="6BD37E20"/>
    <w:rsid w:val="6BD57D6A"/>
    <w:rsid w:val="6C4A261C"/>
    <w:rsid w:val="6C680DBD"/>
    <w:rsid w:val="6CA1689E"/>
    <w:rsid w:val="6CBA3E74"/>
    <w:rsid w:val="6D9263B7"/>
    <w:rsid w:val="6DA8190C"/>
    <w:rsid w:val="6DBF2DF8"/>
    <w:rsid w:val="6DC55031"/>
    <w:rsid w:val="6DEC705B"/>
    <w:rsid w:val="6E73497F"/>
    <w:rsid w:val="6F1137CB"/>
    <w:rsid w:val="6F753A7C"/>
    <w:rsid w:val="6F78332C"/>
    <w:rsid w:val="6FAF7A0A"/>
    <w:rsid w:val="6FB60DC4"/>
    <w:rsid w:val="6FFF3CAB"/>
    <w:rsid w:val="703419A7"/>
    <w:rsid w:val="70550B86"/>
    <w:rsid w:val="706627F5"/>
    <w:rsid w:val="70901081"/>
    <w:rsid w:val="709839A4"/>
    <w:rsid w:val="70C13093"/>
    <w:rsid w:val="70F67C10"/>
    <w:rsid w:val="70F773D5"/>
    <w:rsid w:val="713266F9"/>
    <w:rsid w:val="719D3FE2"/>
    <w:rsid w:val="71C169F5"/>
    <w:rsid w:val="720D0EBC"/>
    <w:rsid w:val="72146F60"/>
    <w:rsid w:val="72312865"/>
    <w:rsid w:val="727E170C"/>
    <w:rsid w:val="72893E0D"/>
    <w:rsid w:val="73005B71"/>
    <w:rsid w:val="733A64F8"/>
    <w:rsid w:val="739026A6"/>
    <w:rsid w:val="7418710E"/>
    <w:rsid w:val="7444425B"/>
    <w:rsid w:val="74591085"/>
    <w:rsid w:val="74957077"/>
    <w:rsid w:val="74A86015"/>
    <w:rsid w:val="74D213D3"/>
    <w:rsid w:val="74DA1695"/>
    <w:rsid w:val="74FC5A8F"/>
    <w:rsid w:val="753F43E4"/>
    <w:rsid w:val="75D424DA"/>
    <w:rsid w:val="76704907"/>
    <w:rsid w:val="76983EDE"/>
    <w:rsid w:val="77184FDD"/>
    <w:rsid w:val="77BB6C0B"/>
    <w:rsid w:val="77C6444D"/>
    <w:rsid w:val="78100640"/>
    <w:rsid w:val="799E319D"/>
    <w:rsid w:val="79AE6AFC"/>
    <w:rsid w:val="7A4E00D6"/>
    <w:rsid w:val="7A552871"/>
    <w:rsid w:val="7A654571"/>
    <w:rsid w:val="7A7379F6"/>
    <w:rsid w:val="7A7C0A63"/>
    <w:rsid w:val="7AB568B0"/>
    <w:rsid w:val="7AEB25EE"/>
    <w:rsid w:val="7B051D01"/>
    <w:rsid w:val="7B1C6EE2"/>
    <w:rsid w:val="7B2F3E35"/>
    <w:rsid w:val="7BB901D7"/>
    <w:rsid w:val="7C0E7AB8"/>
    <w:rsid w:val="7C1254FC"/>
    <w:rsid w:val="7C24529D"/>
    <w:rsid w:val="7C3B12BC"/>
    <w:rsid w:val="7C71038B"/>
    <w:rsid w:val="7CA3621D"/>
    <w:rsid w:val="7CB136AA"/>
    <w:rsid w:val="7CB16E84"/>
    <w:rsid w:val="7CDB5832"/>
    <w:rsid w:val="7CE10334"/>
    <w:rsid w:val="7CEB0964"/>
    <w:rsid w:val="7D1F193A"/>
    <w:rsid w:val="7D9942C4"/>
    <w:rsid w:val="7DAA53AE"/>
    <w:rsid w:val="7DFB1EBB"/>
    <w:rsid w:val="7E26070B"/>
    <w:rsid w:val="7E834226"/>
    <w:rsid w:val="7ECD6C86"/>
    <w:rsid w:val="7EF027CD"/>
    <w:rsid w:val="7F1E1C65"/>
    <w:rsid w:val="7F714251"/>
    <w:rsid w:val="7F8A44D2"/>
    <w:rsid w:val="7FCD7AE5"/>
    <w:rsid w:val="7FD94AE3"/>
    <w:rsid w:val="7FFC094A"/>
    <w:rsid w:val="EB6C68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rFonts w:ascii="Calibri" w:hAnsi="Calibri"/>
      <w:kern w:val="2"/>
      <w:sz w:val="18"/>
      <w:szCs w:val="18"/>
    </w:rPr>
  </w:style>
  <w:style w:type="character" w:customStyle="1" w:styleId="12">
    <w:name w:val="页脚 字符"/>
    <w:basedOn w:val="9"/>
    <w:link w:val="4"/>
    <w:qFormat/>
    <w:uiPriority w:val="0"/>
    <w:rPr>
      <w:rFonts w:ascii="Calibri" w:hAnsi="Calibri"/>
      <w:kern w:val="2"/>
      <w:sz w:val="18"/>
      <w:szCs w:val="18"/>
    </w:rPr>
  </w:style>
  <w:style w:type="character" w:customStyle="1" w:styleId="13">
    <w:name w:val="批注文字 字符"/>
    <w:basedOn w:val="9"/>
    <w:link w:val="2"/>
    <w:qFormat/>
    <w:uiPriority w:val="0"/>
    <w:rPr>
      <w:rFonts w:ascii="Calibri" w:hAnsi="Calibri"/>
      <w:kern w:val="2"/>
      <w:sz w:val="21"/>
      <w:szCs w:val="22"/>
    </w:rPr>
  </w:style>
  <w:style w:type="character" w:customStyle="1" w:styleId="14">
    <w:name w:val="批注主题 字符"/>
    <w:basedOn w:val="13"/>
    <w:link w:val="7"/>
    <w:qFormat/>
    <w:uiPriority w:val="0"/>
    <w:rPr>
      <w:rFonts w:ascii="Calibri" w:hAnsi="Calibri"/>
      <w:b/>
      <w:bCs/>
      <w:kern w:val="2"/>
      <w:sz w:val="21"/>
      <w:szCs w:val="22"/>
    </w:rPr>
  </w:style>
  <w:style w:type="character" w:customStyle="1" w:styleId="15">
    <w:name w:val="批注框文本 字符"/>
    <w:basedOn w:val="9"/>
    <w:link w:val="3"/>
    <w:qFormat/>
    <w:uiPriority w:val="0"/>
    <w:rPr>
      <w:rFonts w:ascii="Calibri" w:hAnsi="Calibri"/>
      <w:kern w:val="2"/>
      <w:sz w:val="18"/>
      <w:szCs w:val="18"/>
    </w:rPr>
  </w:style>
  <w:style w:type="paragraph" w:styleId="16">
    <w:name w:val="List Paragraph"/>
    <w:basedOn w:val="1"/>
    <w:qFormat/>
    <w:uiPriority w:val="34"/>
    <w:pPr>
      <w:ind w:firstLine="420" w:firstLineChars="200"/>
    </w:pPr>
  </w:style>
  <w:style w:type="paragraph" w:customStyle="1" w:styleId="17">
    <w:name w:val="_Style 6"/>
    <w:basedOn w:val="1"/>
    <w:qFormat/>
    <w:uiPriority w:val="34"/>
    <w:pPr>
      <w:ind w:firstLine="420" w:firstLineChars="200"/>
    </w:pPr>
  </w:style>
  <w:style w:type="paragraph" w:customStyle="1" w:styleId="1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Geely.com</Company>
  <Pages>2</Pages>
  <Words>1269</Words>
  <Characters>1351</Characters>
  <Lines>11</Lines>
  <Paragraphs>3</Paragraphs>
  <TotalTime>79</TotalTime>
  <ScaleCrop>false</ScaleCrop>
  <LinksUpToDate>false</LinksUpToDate>
  <CharactersWithSpaces>1464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2026-01-07T00:01:00Z</dcterms:created>
  <dc:creator>xinxin.li</dc:creator>
  <cp:lastModifiedBy>xinxin.li</cp:lastModifiedBy>
  <cp:lastPrinted>2024-11-01T08:51:00Z</cp:lastPrinted>
  <dcterms:modified xsi:type="dcterms:W3CDTF">2026-01-07T08:41:12Z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22D5DCB975E941E49ECE2EF73664C482_13</vt:lpwstr>
  </property>
  <property fmtid="{D5CDD505-2E9C-101B-9397-08002B2CF9AE}" pid="4" name="KSOTemplateDocerSaveRecord">
    <vt:lpwstr>eyJoZGlkIjoiYzUwZTY2Y2YyYzJlYWMwMDY0ODkyYmM2N2IwYTFjM2EiLCJ1c2VySWQiOiIzMzEyMzgyMjcifQ==</vt:lpwstr>
  </property>
</Properties>
</file>