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179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2" w:name="_GoBack"/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关于对广东广康生化科技股份有限公司、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蔡丹群、陈海霞采取出具警示函措施的决定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广东广康生化科技股份有限公司、蔡丹群、陈海霞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0"/>
        </w:numPr>
        <w:overflowPunct w:val="0"/>
        <w:snapToGrid w:val="0"/>
        <w:spacing w:beforeLines="0" w:afterLines="0" w:line="312" w:lineRule="auto"/>
        <w:ind w:firstLine="64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上市公司现场检查规则》（证监会公告〔2025〕5号）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等规定，我局近期对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广东广康生化科技股份有限公司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（以下简称广康生化或公司）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进行了现场检查，发现公司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szCs w:val="32"/>
          <w:lang w:val="en-US" w:eastAsia="zh-CN"/>
        </w:rPr>
        <w:t>存在以下问题：</w:t>
      </w:r>
    </w:p>
    <w:p>
      <w:pPr>
        <w:numPr>
          <w:ilvl w:val="0"/>
          <w:numId w:val="0"/>
        </w:numPr>
        <w:overflowPunct w:val="0"/>
        <w:snapToGrid w:val="0"/>
        <w:spacing w:beforeLines="0" w:afterLines="0" w:line="312" w:lineRule="auto"/>
        <w:ind w:firstLine="640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2023年7月至2025年8月期间，公司经相关审议程序通过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" w:eastAsia="zh-CN"/>
        </w:rPr>
        <w:t>使用募集资金进行现金管理的议案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" w:eastAsia="zh-CN"/>
        </w:rPr>
        <w:t>，循环使用募集资金滚动购买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179笔理财产品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经查，其中有158笔为非保本理财产品，2023年、2024年、2025年购买非保本理财产品分别为14笔、68笔、76笔。公司在相应年度《募集资金存放与使用专项报告》中未充分、完整地提示购买非保本理财产品可能受到的本金损失风险，未充分披露使用募集资金进行现金管理的本金安全性问题，虽未造成募集资金本金损失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但公司上述情形不符合《上市公司监管指引第2号——上市公司募集资金管理和使用的监管要求》（证监会公告〔2022〕15号）第八条第一款和《上市公司募集资金监管规则》第十一条第二款第一项的规定，违反了《上市公司信息披露管理办法》（证监会令第182号，下同）第三条第一款的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董事长兼总经理蔡丹群、财务总监兼董事会秘书陈海霞未按照《上市公司信息披露管理办法》第四条的规定履行勤勉尽责义务，对公司上述违规行为负有主要责任。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根据《上市公司信息披露管理办法》第五十二条的规定，我局决定对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广康生化、蔡丹群、陈海霞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出具警示函的监管措施。你们应认真吸取教训，切实加强证券法律法规学习，依法真实、准确、完整、及时、公平地履行信息披露义务。同时你公司应于收到本决定书30日内完成整改，向我局报送整改报告，并抄报深圳证券交易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果对本行政监管措施不服，可在收到本决定书之日起60日内向中国证券监督管理委员会提出行政复议申请；也可以在收到本决定书之日起6个月内向有管辖权的人民法院提起诉讼。复议与诉讼期间，上述行政监管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3"/>
          <w:szCs w:val="13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20"/>
          <w:szCs w:val="16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抄送：证监会上市司、法治司；深圳证券交易所。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12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>25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bookmarkEnd w:id="1"/>
    <w:p>
      <w:pPr>
        <w:snapToGrid w:val="0"/>
        <w:spacing w:beforeLines="0" w:afterLines="0" w:line="240" w:lineRule="auto"/>
        <w:rPr>
          <w:rFonts w:ascii="Calibri" w:hAnsi="Calibri" w:eastAsia="宋体" w:cs="Times New Roman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0FB7"/>
    <w:rsid w:val="06E799CC"/>
    <w:rsid w:val="2F77CEA5"/>
    <w:rsid w:val="3B6E7065"/>
    <w:rsid w:val="3D3E9954"/>
    <w:rsid w:val="3E8D320D"/>
    <w:rsid w:val="3F567A0E"/>
    <w:rsid w:val="5B356375"/>
    <w:rsid w:val="5EF14B68"/>
    <w:rsid w:val="5FF5802D"/>
    <w:rsid w:val="7EFD4562"/>
    <w:rsid w:val="7F0C90F8"/>
    <w:rsid w:val="7F5EB5A4"/>
    <w:rsid w:val="7F968130"/>
    <w:rsid w:val="7FE70FB7"/>
    <w:rsid w:val="97B75036"/>
    <w:rsid w:val="BEEA06F2"/>
    <w:rsid w:val="D9F3DD41"/>
    <w:rsid w:val="DF6D8A2C"/>
    <w:rsid w:val="DFCD9844"/>
    <w:rsid w:val="FEEFDC88"/>
    <w:rsid w:val="FF9731CE"/>
    <w:rsid w:val="FF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p0"/>
    <w:qFormat/>
    <w:uiPriority w:val="0"/>
    <w:pPr>
      <w:widowControl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2025-11-28T02:13:00Z</dcterms:created>
  <dc:creator>甘启利</dc:creator>
  <cp:lastModifiedBy>于晓雷</cp:lastModifiedBy>
  <cp:lastPrinted>2025-11-30T14:30:00Z</cp:lastPrinted>
  <dcterms:modified xsi:type="dcterms:W3CDTF">2026-01-08T14:52:34Z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8CCB330C3663FCB7613B2069ED9FC516</vt:lpwstr>
  </property>
</Properties>
</file>