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178</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eastAsia="宋体" w:cs="Times New Roman"/>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wvtZLWAAAACAEAAA8AAAAAAAAA&#10;AQAgAAAAOAAAAGRycy9kb3ducmV2LnhtbFBLAQIUABQAAAAIAIdO4kAV8uZj/QEAAPUDAAAOAAAA&#10;AAAAAAEAIAAAADsBAABkcnMvZTJvRG9jLnhtbFBLBQYAAAAABgAGAFkBAACqBQAAAAA=&#10;">
                <v:fill on="f" focussize="0,0"/>
                <v:stroke weight="1pt" color="#FF0000" joinstyle="round"/>
                <v:imagedata o:title=""/>
                <o:lock v:ext="edit" aspectratio="f"/>
              </v:line>
            </w:pict>
          </mc:Fallback>
        </mc:AlternateContent>
      </w:r>
    </w:p>
    <w:p>
      <w:pPr>
        <w:jc w:val="center"/>
        <w:rPr>
          <w:rFonts w:hint="eastAsia"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bookmarkStart w:id="2" w:name="_GoBack"/>
      <w:bookmarkStart w:id="1" w:name="quanwen"/>
      <w:r>
        <w:rPr>
          <w:rFonts w:hint="eastAsia" w:ascii="方正小标宋简体" w:hAnsi="方正小标宋简体" w:eastAsia="方正小标宋简体" w:cs="方正小标宋简体"/>
          <w:sz w:val="44"/>
          <w:szCs w:val="44"/>
          <w:lang w:eastAsia="zh-CN"/>
        </w:rPr>
        <w:t>关于对广东雄塑科技集团股份有限公司采取</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责令改正并对黄淦雄、黄铭雄采取出具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警示函措施的决定</w:t>
      </w:r>
    </w:p>
    <w:bookmarkEnd w:id="2"/>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both"/>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beforeLines="0" w:afterLines="0" w:line="360" w:lineRule="auto"/>
        <w:ind w:firstLine="0" w:firstLineChars="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6"/>
          <w:sz w:val="32"/>
          <w:szCs w:val="32"/>
          <w:lang w:eastAsia="zh-CN"/>
        </w:rPr>
        <w:t>广东雄塑科技集团股份有限公司、黄淦雄、黄铭雄</w:t>
      </w:r>
      <w:r>
        <w:rPr>
          <w:rFonts w:hint="eastAsia" w:ascii="仿宋_GB2312" w:hAnsi="仿宋_GB2312" w:eastAsia="仿宋_GB2312" w:cs="仿宋_GB2312"/>
          <w:spacing w:val="-6"/>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6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经查，</w:t>
      </w:r>
      <w:r>
        <w:rPr>
          <w:rFonts w:hint="eastAsia" w:ascii="仿宋_GB2312" w:hAnsi="仿宋_GB2312" w:eastAsia="仿宋_GB2312" w:cs="仿宋_GB2312"/>
          <w:spacing w:val="-6"/>
          <w:sz w:val="32"/>
          <w:szCs w:val="32"/>
          <w:highlight w:val="none"/>
          <w:lang w:eastAsia="zh-CN"/>
        </w:rPr>
        <w:t>广东雄塑科技集团股份有限公司</w:t>
      </w:r>
      <w:r>
        <w:rPr>
          <w:rFonts w:hint="eastAsia" w:ascii="仿宋_GB2312" w:hAnsi="仿宋_GB2312" w:eastAsia="仿宋_GB2312" w:cs="仿宋_GB2312"/>
          <w:sz w:val="32"/>
          <w:szCs w:val="32"/>
          <w:highlight w:val="none"/>
          <w:lang w:eastAsia="zh-CN"/>
        </w:rPr>
        <w:t>（以下简称雄塑科技或公司）存在以下违规行为：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6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2023年、2024年，公司向供应商广东雄和模具制造有限公司（以下简称雄和模具）采购金额分别为2,692.77万元、1,999.09万元；向供应商佛山市造峰贸易有限公司（以下简称造峰贸易）采购金额分别为2,836.47万元、4,911.52万元；向供应商佛山市德虹贸易有限公司（以下简称德虹贸易）采购金额分别为142.73万元、406.76万元。雄和模具、造峰贸易、德虹贸易注册资金</w:t>
      </w:r>
      <w:r>
        <w:rPr>
          <w:rFonts w:hint="eastAsia" w:ascii="仿宋_GB2312" w:hAnsi="仿宋_GB2312" w:eastAsia="仿宋_GB2312" w:cs="仿宋_GB2312"/>
          <w:kern w:val="0"/>
          <w:sz w:val="32"/>
          <w:szCs w:val="32"/>
          <w:highlight w:val="none"/>
          <w:lang w:eastAsia="zh-CN"/>
        </w:rPr>
        <w:t>或</w:t>
      </w:r>
      <w:r>
        <w:rPr>
          <w:rFonts w:hint="eastAsia" w:ascii="仿宋_GB2312" w:hAnsi="仿宋_GB2312" w:eastAsia="仿宋_GB2312" w:cs="仿宋_GB2312"/>
          <w:kern w:val="0"/>
          <w:sz w:val="32"/>
          <w:szCs w:val="32"/>
          <w:highlight w:val="none"/>
        </w:rPr>
        <w:t>部分营运资金来自于</w:t>
      </w:r>
      <w:r>
        <w:rPr>
          <w:rFonts w:hint="eastAsia" w:ascii="仿宋_GB2312" w:hAnsi="仿宋_GB2312" w:eastAsia="仿宋_GB2312" w:cs="仿宋_GB2312"/>
          <w:kern w:val="0"/>
          <w:sz w:val="32"/>
          <w:szCs w:val="32"/>
          <w:highlight w:val="none"/>
          <w:lang w:eastAsia="zh-CN"/>
        </w:rPr>
        <w:t>黄淦雄、黄铭雄。黄淦雄、黄铭雄为雄塑科技实际控制人及一致行动人，并在公司担任董事长、董事，</w:t>
      </w:r>
      <w:r>
        <w:rPr>
          <w:rFonts w:hint="eastAsia" w:ascii="仿宋_GB2312" w:hAnsi="仿宋_GB2312" w:eastAsia="仿宋_GB2312" w:cs="仿宋_GB2312"/>
          <w:b w:val="0"/>
          <w:bCs w:val="0"/>
          <w:sz w:val="32"/>
          <w:szCs w:val="32"/>
          <w:highlight w:val="none"/>
          <w:lang w:val="en-US" w:eastAsia="zh-CN"/>
        </w:rPr>
        <w:t>雄和模具、造峰贸易、德虹贸易</w:t>
      </w:r>
      <w:r>
        <w:rPr>
          <w:rFonts w:hint="eastAsia" w:ascii="仿宋_GB2312" w:hAnsi="仿宋_GB2312" w:eastAsia="仿宋_GB2312" w:cs="仿宋_GB2312"/>
          <w:kern w:val="0"/>
          <w:sz w:val="32"/>
          <w:szCs w:val="32"/>
          <w:highlight w:val="none"/>
          <w:lang w:eastAsia="zh-CN"/>
        </w:rPr>
        <w:t>为公司关联方，</w:t>
      </w:r>
      <w:r>
        <w:rPr>
          <w:rFonts w:hint="eastAsia" w:ascii="仿宋_GB2312" w:hAnsi="仿宋_GB2312" w:eastAsia="仿宋_GB2312" w:cs="仿宋_GB2312"/>
          <w:kern w:val="0"/>
          <w:sz w:val="32"/>
          <w:szCs w:val="32"/>
          <w:highlight w:val="none"/>
        </w:rPr>
        <w:t>但</w:t>
      </w:r>
      <w:r>
        <w:rPr>
          <w:rFonts w:hint="eastAsia" w:ascii="仿宋_GB2312" w:hAnsi="仿宋_GB2312" w:eastAsia="仿宋_GB2312" w:cs="仿宋_GB2312"/>
          <w:kern w:val="0"/>
          <w:sz w:val="32"/>
          <w:szCs w:val="32"/>
          <w:highlight w:val="none"/>
          <w:lang w:val="en" w:eastAsia="zh-CN"/>
        </w:rPr>
        <w:t>雄塑科技</w:t>
      </w:r>
      <w:r>
        <w:rPr>
          <w:rFonts w:hint="eastAsia" w:ascii="仿宋_GB2312" w:hAnsi="仿宋_GB2312" w:eastAsia="仿宋_GB2312" w:cs="仿宋_GB2312"/>
          <w:kern w:val="0"/>
          <w:sz w:val="32"/>
          <w:szCs w:val="32"/>
          <w:highlight w:val="none"/>
        </w:rPr>
        <w:t>未</w:t>
      </w:r>
      <w:r>
        <w:rPr>
          <w:rFonts w:hint="eastAsia" w:ascii="仿宋_GB2312" w:hAnsi="仿宋_GB2312" w:eastAsia="仿宋_GB2312" w:cs="仿宋_GB2312"/>
          <w:kern w:val="0"/>
          <w:sz w:val="32"/>
          <w:szCs w:val="32"/>
          <w:highlight w:val="none"/>
          <w:lang w:eastAsia="zh-CN"/>
        </w:rPr>
        <w:t>对上述交易履行关联交易审议程序</w:t>
      </w:r>
      <w:r>
        <w:rPr>
          <w:rFonts w:hint="eastAsia" w:ascii="仿宋_GB2312" w:hAnsi="仿宋_GB2312" w:eastAsia="仿宋_GB2312" w:cs="仿宋_GB2312"/>
          <w:kern w:val="0"/>
          <w:sz w:val="32"/>
          <w:szCs w:val="32"/>
          <w:highlight w:val="none"/>
        </w:rPr>
        <w:t>和</w:t>
      </w:r>
      <w:r>
        <w:rPr>
          <w:rFonts w:hint="eastAsia" w:ascii="仿宋_GB2312" w:hAnsi="仿宋_GB2312" w:eastAsia="仿宋_GB2312" w:cs="仿宋_GB2312"/>
          <w:kern w:val="0"/>
          <w:sz w:val="32"/>
          <w:szCs w:val="32"/>
          <w:highlight w:val="none"/>
          <w:lang w:eastAsia="zh-CN"/>
        </w:rPr>
        <w:t>信息</w:t>
      </w:r>
      <w:r>
        <w:rPr>
          <w:rFonts w:hint="eastAsia" w:ascii="仿宋_GB2312" w:hAnsi="仿宋_GB2312" w:eastAsia="仿宋_GB2312" w:cs="仿宋_GB2312"/>
          <w:kern w:val="0"/>
          <w:sz w:val="32"/>
          <w:szCs w:val="32"/>
          <w:highlight w:val="none"/>
        </w:rPr>
        <w:t>披露</w:t>
      </w:r>
      <w:r>
        <w:rPr>
          <w:rFonts w:hint="eastAsia" w:ascii="仿宋_GB2312" w:hAnsi="仿宋_GB2312" w:eastAsia="仿宋_GB2312" w:cs="仿宋_GB2312"/>
          <w:kern w:val="0"/>
          <w:sz w:val="32"/>
          <w:szCs w:val="32"/>
          <w:highlight w:val="none"/>
          <w:lang w:eastAsia="zh-CN"/>
        </w:rPr>
        <w:t>义务，</w:t>
      </w:r>
      <w:r>
        <w:rPr>
          <w:rFonts w:hint="eastAsia" w:ascii="仿宋_GB2312" w:hAnsi="仿宋_GB2312" w:eastAsia="仿宋_GB2312" w:cs="仿宋_GB2312"/>
          <w:kern w:val="0"/>
          <w:sz w:val="32"/>
          <w:szCs w:val="32"/>
          <w:highlight w:val="none"/>
        </w:rPr>
        <w:t>违反了《上市公司信息披露管理办法》</w:t>
      </w:r>
      <w:r>
        <w:rPr>
          <w:rFonts w:hint="eastAsia" w:ascii="仿宋_GB2312" w:hAnsi="仿宋_GB2312" w:eastAsia="仿宋_GB2312" w:cs="仿宋_GB2312"/>
          <w:kern w:val="0"/>
          <w:sz w:val="32"/>
          <w:szCs w:val="32"/>
          <w:highlight w:val="none"/>
          <w:lang w:eastAsia="zh-CN"/>
        </w:rPr>
        <w:t>（证监会令第</w:t>
      </w:r>
      <w:r>
        <w:rPr>
          <w:rFonts w:hint="eastAsia" w:ascii="仿宋_GB2312" w:hAnsi="仿宋_GB2312" w:eastAsia="仿宋_GB2312" w:cs="仿宋_GB2312"/>
          <w:kern w:val="0"/>
          <w:sz w:val="32"/>
          <w:szCs w:val="32"/>
          <w:highlight w:val="none"/>
          <w:lang w:val="en-US" w:eastAsia="zh-CN"/>
        </w:rPr>
        <w:t>182号，下同</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第三条</w:t>
      </w:r>
      <w:r>
        <w:rPr>
          <w:rFonts w:hint="eastAsia" w:ascii="仿宋_GB2312" w:hAnsi="仿宋_GB2312" w:eastAsia="仿宋_GB2312" w:cs="仿宋_GB2312"/>
          <w:kern w:val="0"/>
          <w:sz w:val="32"/>
          <w:szCs w:val="32"/>
          <w:highlight w:val="none"/>
          <w:lang w:eastAsia="zh-CN"/>
        </w:rPr>
        <w:t>第一款、</w:t>
      </w:r>
      <w:r>
        <w:rPr>
          <w:rFonts w:hint="eastAsia" w:ascii="仿宋_GB2312" w:hAnsi="仿宋_GB2312" w:eastAsia="仿宋_GB2312" w:cs="仿宋_GB2312"/>
          <w:kern w:val="0"/>
          <w:sz w:val="32"/>
          <w:szCs w:val="32"/>
          <w:highlight w:val="none"/>
        </w:rPr>
        <w:t>第四十一条</w:t>
      </w:r>
      <w:r>
        <w:rPr>
          <w:rFonts w:hint="eastAsia" w:ascii="仿宋_GB2312" w:hAnsi="仿宋_GB2312" w:eastAsia="仿宋_GB2312" w:cs="仿宋_GB2312"/>
          <w:kern w:val="0"/>
          <w:sz w:val="32"/>
          <w:szCs w:val="32"/>
          <w:highlight w:val="none"/>
          <w:lang w:eastAsia="zh-CN"/>
        </w:rPr>
        <w:t>的规定</w:t>
      </w:r>
      <w:r>
        <w:rPr>
          <w:rFonts w:hint="eastAsia" w:ascii="仿宋_GB2312" w:hAnsi="仿宋_GB2312" w:eastAsia="仿宋_GB2312" w:cs="仿宋_GB2312"/>
          <w:kern w:val="0"/>
          <w:sz w:val="32"/>
          <w:szCs w:val="32"/>
          <w:highlight w:val="none"/>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公司实际控制人兼</w:t>
      </w:r>
      <w:r>
        <w:rPr>
          <w:rFonts w:hint="eastAsia" w:ascii="仿宋_GB2312" w:hAnsi="仿宋_GB2312" w:eastAsia="仿宋_GB2312" w:cs="仿宋_GB2312"/>
          <w:sz w:val="32"/>
          <w:szCs w:val="32"/>
          <w:highlight w:val="none"/>
          <w:lang w:val="en-US" w:eastAsia="zh-CN"/>
        </w:rPr>
        <w:t>董事长黄淦雄、</w:t>
      </w:r>
      <w:r>
        <w:rPr>
          <w:rFonts w:hint="eastAsia" w:ascii="仿宋_GB2312" w:hAnsi="仿宋_GB2312" w:eastAsia="仿宋_GB2312" w:cs="仿宋_GB2312"/>
          <w:b w:val="0"/>
          <w:bCs w:val="0"/>
          <w:sz w:val="32"/>
          <w:szCs w:val="32"/>
          <w:highlight w:val="none"/>
          <w:lang w:val="en-US" w:eastAsia="zh-CN"/>
        </w:rPr>
        <w:t>实际控制人一致行动人兼</w:t>
      </w:r>
      <w:r>
        <w:rPr>
          <w:rFonts w:hint="eastAsia" w:ascii="仿宋_GB2312" w:hAnsi="仿宋_GB2312" w:eastAsia="仿宋_GB2312" w:cs="仿宋_GB2312"/>
          <w:sz w:val="32"/>
          <w:szCs w:val="32"/>
          <w:highlight w:val="none"/>
          <w:lang w:val="en-US" w:eastAsia="zh-CN"/>
        </w:rPr>
        <w:t>时任董事</w:t>
      </w:r>
      <w:r>
        <w:rPr>
          <w:rFonts w:hint="eastAsia" w:ascii="仿宋_GB2312" w:hAnsi="仿宋_GB2312" w:eastAsia="仿宋_GB2312" w:cs="仿宋_GB2312"/>
          <w:spacing w:val="-6"/>
          <w:sz w:val="32"/>
          <w:szCs w:val="32"/>
          <w:lang w:eastAsia="zh-CN"/>
        </w:rPr>
        <w:t>黄铭雄</w:t>
      </w:r>
      <w:r>
        <w:rPr>
          <w:rFonts w:hint="eastAsia" w:ascii="仿宋_GB2312" w:hAnsi="仿宋_GB2312" w:eastAsia="仿宋_GB2312" w:cs="仿宋_GB2312"/>
          <w:sz w:val="32"/>
          <w:szCs w:val="32"/>
          <w:highlight w:val="none"/>
          <w:lang w:val="en-US" w:eastAsia="zh-CN"/>
        </w:rPr>
        <w:t>未按照《上市公司信息披露管理办法》第四十一条的规定及时向公司董事会报送关联人名单及关联关系说明、未按照《上市公司信息披露管理办法》第四条的规定履行勤勉尽责义务，对公司上述违规行为负有主要责任。</w:t>
      </w:r>
    </w:p>
    <w:p>
      <w:pPr>
        <w:keepNext w:val="0"/>
        <w:keepLines w:val="0"/>
        <w:pageBreakBefore w:val="0"/>
        <w:widowControl w:val="0"/>
        <w:suppressLineNumbers w:val="0"/>
        <w:kinsoku/>
        <w:wordWrap/>
        <w:overflowPunct w:val="0"/>
        <w:topLinePunct w:val="0"/>
        <w:autoSpaceDE/>
        <w:autoSpaceDN/>
        <w:bidi w:val="0"/>
        <w:adjustRightInd w:val="0"/>
        <w:snapToGrid w:val="0"/>
        <w:spacing w:beforeLines="0" w:afterLines="0"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根据《上市公司信息披露管理办法》第五十二条的规定，我局决定对雄塑科技</w:t>
      </w:r>
      <w:r>
        <w:rPr>
          <w:rFonts w:hint="eastAsia" w:ascii="仿宋_GB2312" w:hAnsi="仿宋_GB2312" w:eastAsia="仿宋_GB2312" w:cs="仿宋_GB2312"/>
          <w:sz w:val="32"/>
          <w:szCs w:val="32"/>
          <w:highlight w:val="none"/>
          <w:lang w:eastAsia="zh-CN"/>
        </w:rPr>
        <w:t>采取责令改正的监管措施，对</w:t>
      </w:r>
      <w:r>
        <w:rPr>
          <w:rFonts w:hint="eastAsia" w:ascii="仿宋_GB2312" w:hAnsi="仿宋_GB2312" w:eastAsia="仿宋_GB2312" w:cs="仿宋_GB2312"/>
          <w:sz w:val="32"/>
          <w:szCs w:val="32"/>
          <w:highlight w:val="none"/>
          <w:lang w:val="en-US" w:eastAsia="zh-CN"/>
        </w:rPr>
        <w:t>黄淦雄、</w:t>
      </w:r>
      <w:r>
        <w:rPr>
          <w:rFonts w:hint="eastAsia" w:ascii="仿宋_GB2312" w:hAnsi="仿宋_GB2312" w:eastAsia="仿宋_GB2312" w:cs="仿宋_GB2312"/>
          <w:spacing w:val="-6"/>
          <w:sz w:val="32"/>
          <w:szCs w:val="32"/>
          <w:lang w:eastAsia="zh-CN"/>
        </w:rPr>
        <w:t>黄铭雄</w:t>
      </w:r>
      <w:r>
        <w:rPr>
          <w:rFonts w:hint="eastAsia" w:ascii="仿宋_GB2312" w:hAnsi="仿宋_GB2312" w:eastAsia="仿宋_GB2312" w:cs="仿宋_GB2312"/>
          <w:sz w:val="32"/>
          <w:szCs w:val="32"/>
          <w:highlight w:val="none"/>
          <w:lang w:val="en-US" w:eastAsia="zh-CN"/>
        </w:rPr>
        <w:t>采取出具警示函的监管措施。你们应认真吸取教训，切实加强证券法律法规的学习，依法真实、准确、完整、及时、公平地履行信息披露义务。同时你公司应于收到本决定书30日内完成整改，向我局报送整改报告，并抄报深圳证券交易所。</w:t>
      </w:r>
    </w:p>
    <w:p>
      <w:pPr>
        <w:keepNext w:val="0"/>
        <w:keepLines w:val="0"/>
        <w:pageBreakBefore w:val="0"/>
        <w:widowControl w:val="0"/>
        <w:kinsoku/>
        <w:wordWrap/>
        <w:overflowPunct w:val="0"/>
        <w:topLinePunct w:val="0"/>
        <w:autoSpaceDE/>
        <w:autoSpaceDN/>
        <w:bidi w:val="0"/>
        <w:adjustRightInd w:val="0"/>
        <w:snapToGrid w:val="0"/>
        <w:spacing w:beforeLines="0" w:afterLines="0" w:line="360" w:lineRule="auto"/>
        <w:ind w:firstLine="6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sz w:val="32"/>
          <w:szCs w:val="32"/>
          <w:highlight w:val="none"/>
          <w:lang w:val="en-US" w:eastAsia="zh-CN"/>
        </w:rPr>
        <w:t>如果对本行政监管措施不服，可在收到本决定书之日起60日内向中国证券监督管理委员会提出行政复议申请；也可以在收到本决定书之日起6个月内向有管辖权的人民法院提起诉讼。复议与诉讼期间，上述行政监管措施不停止执行。</w:t>
      </w: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pPr>
        <w:keepNext w:val="0"/>
        <w:keepLines w:val="0"/>
        <w:pageBreakBefore w:val="0"/>
        <w:widowControl/>
        <w:numPr>
          <w:ilvl w:val="0"/>
          <w:numId w:val="0"/>
        </w:numPr>
        <w:pBdr>
          <w:top w:val="none" w:color="auto" w:sz="0" w:space="0"/>
          <w:bottom w:val="none" w:color="auto" w:sz="0" w:space="0"/>
        </w:pBdr>
        <w:kinsoku/>
        <w:wordWrap/>
        <w:overflowPunct w:val="0"/>
        <w:topLinePunct w:val="0"/>
        <w:autoSpaceDE/>
        <w:autoSpaceDN/>
        <w:bidi w:val="0"/>
        <w:adjustRightInd w:val="0"/>
        <w:snapToGrid w:val="0"/>
        <w:spacing w:beforeLines="0" w:afterLines="0" w:line="360" w:lineRule="auto"/>
        <w:ind w:firstLine="0"/>
        <w:jc w:val="center"/>
        <w:textAlignment w:val="auto"/>
        <w:outlineLvl w:val="9"/>
        <w:rPr>
          <w:rFonts w:hint="eastAsia" w:ascii="仿宋_GB2312" w:hAnsi="Times New Roman" w:eastAsia="仿宋_GB2312" w:cs="Times New Roman"/>
          <w:spacing w:val="8"/>
          <w:sz w:val="2"/>
          <w:szCs w:val="2"/>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12</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25</w:t>
      </w:r>
      <w:r>
        <w:rPr>
          <w:rFonts w:hint="eastAsia" w:ascii="仿宋_GB2312" w:hAnsi="Times New Roman" w:eastAsia="仿宋_GB2312" w:cs="Times New Roman"/>
          <w:color w:val="000000"/>
          <w:spacing w:val="10"/>
          <w:sz w:val="32"/>
          <w:szCs w:val="32"/>
        </w:rPr>
        <w:t>日</w:t>
      </w: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snapToGrid w:val="0"/>
        <w:spacing w:line="300" w:lineRule="auto"/>
        <w:ind w:right="26"/>
        <w:jc w:val="left"/>
        <w:rPr>
          <w:rFonts w:hint="eastAsia" w:ascii="黑体" w:hAnsi="Calibri" w:eastAsia="黑体" w:cs="Times New Roman"/>
          <w:spacing w:val="8"/>
          <w:sz w:val="20"/>
          <w:szCs w:val="16"/>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hAnsi="Calibri" w:eastAsia="长城仿宋" w:cs="Times New Roman"/>
          <w:sz w:val="28"/>
          <w:szCs w:val="24"/>
        </w:rPr>
      </w:pPr>
      <w:r>
        <w:rPr>
          <w:rFonts w:hint="eastAsia" w:ascii="仿宋_GB2312" w:hAnsi="Calibri" w:eastAsia="仿宋_GB2312" w:cs="Times New Roman"/>
          <w:spacing w:val="8"/>
          <w:sz w:val="28"/>
          <w:szCs w:val="24"/>
        </w:rPr>
        <w:t>抄送：证监会上市司、法治司；深圳证券交易所。</w:t>
      </w:r>
    </w:p>
    <w:p>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ind w:firstLine="296" w:firstLineChars="100"/>
        <w:jc w:val="left"/>
        <w:textAlignment w:val="auto"/>
        <w:rPr>
          <w:rFonts w:hint="eastAsia" w:ascii="仿宋_GB2312" w:hAnsi="Calibri" w:eastAsia="仿宋_GB2312" w:cs="Times New Roman"/>
          <w:spacing w:val="8"/>
          <w:sz w:val="28"/>
          <w:szCs w:val="24"/>
        </w:rPr>
      </w:pPr>
      <w:r>
        <w:rPr>
          <w:rFonts w:hint="eastAsia" w:ascii="仿宋_GB2312" w:hAnsi="Calibri" w:eastAsia="仿宋_GB2312" w:cs="Times New Roman"/>
          <w:spacing w:val="8"/>
          <w:sz w:val="28"/>
          <w:szCs w:val="24"/>
        </w:rPr>
        <w:t xml:space="preserve">广东证监局办公室          </w:t>
      </w:r>
      <w:r>
        <w:rPr>
          <w:rFonts w:hint="default" w:ascii="仿宋_GB2312" w:hAnsi="Calibri" w:eastAsia="仿宋_GB2312" w:cs="Times New Roman"/>
          <w:spacing w:val="8"/>
          <w:sz w:val="28"/>
          <w:szCs w:val="24"/>
          <w:lang w:val="en-US"/>
        </w:rPr>
        <w:t xml:space="preserve">       </w:t>
      </w:r>
      <w:r>
        <w:rPr>
          <w:rFonts w:hint="eastAsia" w:ascii="仿宋_GB2312" w:hAnsi="Calibri" w:eastAsia="仿宋_GB2312" w:cs="Times New Roman"/>
          <w:spacing w:val="8"/>
          <w:sz w:val="28"/>
          <w:szCs w:val="24"/>
        </w:rPr>
        <w:t xml:space="preserve"> </w:t>
      </w:r>
      <w:r>
        <w:rPr>
          <w:rFonts w:hint="default" w:ascii="仿宋_GB2312" w:hAnsi="Calibri" w:eastAsia="仿宋_GB2312" w:cs="Times New Roman"/>
          <w:spacing w:val="8"/>
          <w:sz w:val="28"/>
          <w:szCs w:val="24"/>
          <w:lang w:val="en" w:eastAsia="zh-CN"/>
        </w:rPr>
        <w:t>202</w:t>
      </w:r>
      <w:r>
        <w:rPr>
          <w:rFonts w:hint="default" w:ascii="仿宋_GB2312" w:hAnsi="Calibri" w:eastAsia="仿宋_GB2312" w:cs="Times New Roman"/>
          <w:spacing w:val="8"/>
          <w:sz w:val="28"/>
          <w:szCs w:val="24"/>
          <w:lang w:val="en-US" w:eastAsia="zh-CN"/>
        </w:rPr>
        <w:t>5</w:t>
      </w:r>
      <w:r>
        <w:rPr>
          <w:rFonts w:hint="eastAsia" w:ascii="仿宋_GB2312" w:hAnsi="Calibri" w:eastAsia="仿宋_GB2312" w:cs="Times New Roman"/>
          <w:spacing w:val="8"/>
          <w:sz w:val="28"/>
          <w:szCs w:val="24"/>
        </w:rPr>
        <w:t>年</w:t>
      </w:r>
      <w:r>
        <w:rPr>
          <w:rFonts w:hint="default" w:ascii="仿宋_GB2312" w:hAnsi="Calibri" w:eastAsia="仿宋_GB2312" w:cs="Times New Roman"/>
          <w:spacing w:val="8"/>
          <w:sz w:val="28"/>
          <w:szCs w:val="24"/>
          <w:lang w:val="en-US"/>
        </w:rPr>
        <w:t>12</w:t>
      </w:r>
      <w:r>
        <w:rPr>
          <w:rFonts w:hint="eastAsia" w:ascii="仿宋_GB2312" w:hAnsi="Calibri" w:eastAsia="仿宋_GB2312" w:cs="Times New Roman"/>
          <w:spacing w:val="8"/>
          <w:sz w:val="28"/>
          <w:szCs w:val="24"/>
        </w:rPr>
        <w:t>月</w:t>
      </w:r>
      <w:r>
        <w:rPr>
          <w:rFonts w:hint="default" w:ascii="仿宋_GB2312" w:hAnsi="Calibri" w:eastAsia="仿宋_GB2312" w:cs="Times New Roman"/>
          <w:spacing w:val="8"/>
          <w:sz w:val="28"/>
          <w:szCs w:val="24"/>
          <w:lang w:val="en-US"/>
        </w:rPr>
        <w:t>25</w:t>
      </w:r>
      <w:r>
        <w:rPr>
          <w:rFonts w:hint="eastAsia" w:ascii="仿宋_GB2312" w:hAnsi="Calibri" w:eastAsia="仿宋_GB2312" w:cs="Times New Roman"/>
          <w:spacing w:val="8"/>
          <w:sz w:val="28"/>
          <w:szCs w:val="24"/>
        </w:rPr>
        <w:t>日印发</w:t>
      </w:r>
    </w:p>
    <w:bookmarkEnd w:id="1"/>
    <w:p>
      <w:pPr>
        <w:keepNext w:val="0"/>
        <w:keepLines w:val="0"/>
        <w:pageBreakBefore w:val="0"/>
        <w:widowControl w:val="0"/>
        <w:pBdr>
          <w:top w:val="single" w:color="auto" w:sz="8" w:space="7"/>
        </w:pBdr>
        <w:kinsoku/>
        <w:wordWrap/>
        <w:overflowPunct/>
        <w:topLinePunct w:val="0"/>
        <w:autoSpaceDE/>
        <w:autoSpaceDN/>
        <w:bidi w:val="0"/>
        <w:adjustRightInd w:val="0"/>
        <w:snapToGrid w:val="0"/>
        <w:spacing w:beforeLines="0" w:afterLines="0" w:line="240" w:lineRule="auto"/>
        <w:ind w:firstLine="0"/>
        <w:jc w:val="left"/>
        <w:textAlignment w:val="auto"/>
        <w:rPr>
          <w:rFonts w:hint="eastAsia" w:ascii="仿宋_GB2312" w:hAnsi="Calibri" w:eastAsia="仿宋_GB2312" w:cs="Times New Roman"/>
          <w:spacing w:val="8"/>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2010609000101010101"/>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5BC6B8"/>
    <w:rsid w:val="71F7C1CF"/>
    <w:rsid w:val="75144FCF"/>
    <w:rsid w:val="75E993AC"/>
    <w:rsid w:val="777D92FA"/>
    <w:rsid w:val="96FF59F4"/>
    <w:rsid w:val="B5677084"/>
    <w:rsid w:val="B7CA10B2"/>
    <w:rsid w:val="DF5BC6B8"/>
    <w:rsid w:val="DF9FF7CB"/>
    <w:rsid w:val="DFB7B3A0"/>
    <w:rsid w:val="F6FE3CE3"/>
    <w:rsid w:val="FF3B2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customStyle="1" w:styleId="7">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2025-12-19T06:04:00Z</dcterms:created>
  <dc:creator>林钰清：主办人拟稿</dc:creator>
  <cp:lastModifiedBy>于晓雷</cp:lastModifiedBy>
  <dcterms:modified xsi:type="dcterms:W3CDTF">2026-01-08T14:52:08Z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0AAD6E9D08B3AB2B280A4169AB150CDD</vt:lpwstr>
  </property>
</Properties>
</file>