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DC7" w:rsidRDefault="00037DC7">
      <w:pPr>
        <w:spacing w:beforeLines="50" w:before="156" w:afterLines="50" w:after="156" w:line="400" w:lineRule="exact"/>
        <w:rPr>
          <w:rFonts w:ascii="宋体" w:hAnsi="宋体"/>
          <w:bCs/>
          <w:iCs/>
          <w:sz w:val="24"/>
        </w:rPr>
      </w:pPr>
      <w:r>
        <w:rPr>
          <w:rFonts w:ascii="宋体" w:hAnsi="宋体" w:hint="eastAsia"/>
          <w:bCs/>
          <w:iCs/>
          <w:sz w:val="24"/>
        </w:rPr>
        <w:t>证券代码：603299</w:t>
      </w:r>
      <w:r>
        <w:rPr>
          <w:rFonts w:ascii="宋体" w:hAnsi="宋体"/>
          <w:bCs/>
          <w:iCs/>
          <w:sz w:val="24"/>
        </w:rPr>
        <w:t xml:space="preserve">               </w:t>
      </w:r>
      <w:r>
        <w:rPr>
          <w:rFonts w:ascii="宋体" w:hAnsi="宋体" w:hint="eastAsia"/>
          <w:bCs/>
          <w:iCs/>
          <w:sz w:val="24"/>
        </w:rPr>
        <w:t xml:space="preserve">   </w:t>
      </w:r>
      <w:r>
        <w:rPr>
          <w:rFonts w:ascii="宋体" w:hAnsi="宋体"/>
          <w:bCs/>
          <w:iCs/>
          <w:sz w:val="24"/>
        </w:rPr>
        <w:t xml:space="preserve">              </w:t>
      </w:r>
      <w:r>
        <w:rPr>
          <w:rFonts w:ascii="宋体" w:hAnsi="宋体" w:hint="eastAsia"/>
          <w:bCs/>
          <w:iCs/>
          <w:sz w:val="24"/>
        </w:rPr>
        <w:t>证券简称：苏盐井神</w:t>
      </w:r>
    </w:p>
    <w:p w:rsidR="00037DC7" w:rsidRDefault="00037DC7">
      <w:pPr>
        <w:spacing w:beforeLines="50" w:before="156" w:afterLines="50" w:after="156" w:line="400" w:lineRule="exact"/>
        <w:ind w:firstLineChars="300" w:firstLine="720"/>
        <w:rPr>
          <w:rFonts w:ascii="宋体"/>
          <w:bCs/>
          <w:iCs/>
          <w:sz w:val="24"/>
        </w:rPr>
      </w:pPr>
    </w:p>
    <w:p w:rsidR="00037DC7" w:rsidRDefault="00037DC7">
      <w:pPr>
        <w:spacing w:beforeLines="50" w:before="156" w:afterLines="50" w:after="156" w:line="400" w:lineRule="exact"/>
        <w:jc w:val="center"/>
        <w:rPr>
          <w:rFonts w:ascii="宋体" w:hAnsi="宋体"/>
          <w:b/>
          <w:bCs/>
          <w:iCs/>
          <w:sz w:val="30"/>
          <w:szCs w:val="30"/>
        </w:rPr>
      </w:pPr>
      <w:r>
        <w:rPr>
          <w:rFonts w:ascii="宋体" w:hAnsi="宋体" w:hint="eastAsia"/>
          <w:b/>
          <w:bCs/>
          <w:iCs/>
          <w:sz w:val="30"/>
          <w:szCs w:val="30"/>
        </w:rPr>
        <w:t>江苏苏盐井神股份有限公司</w:t>
      </w:r>
    </w:p>
    <w:p w:rsidR="00037DC7" w:rsidRDefault="00037DC7">
      <w:pPr>
        <w:spacing w:beforeLines="50" w:before="156" w:afterLines="50" w:after="156" w:line="400" w:lineRule="exact"/>
        <w:jc w:val="center"/>
        <w:rPr>
          <w:rFonts w:ascii="宋体"/>
          <w:b/>
          <w:bCs/>
          <w:iCs/>
          <w:sz w:val="30"/>
          <w:szCs w:val="30"/>
        </w:rPr>
      </w:pPr>
      <w:r>
        <w:rPr>
          <w:rFonts w:ascii="宋体" w:hAnsi="宋体" w:hint="eastAsia"/>
          <w:b/>
          <w:bCs/>
          <w:iCs/>
          <w:sz w:val="30"/>
          <w:szCs w:val="30"/>
        </w:rPr>
        <w:t>投资者关系活动记录表</w:t>
      </w:r>
    </w:p>
    <w:p w:rsidR="00037DC7" w:rsidRDefault="00037DC7">
      <w:pPr>
        <w:spacing w:line="400" w:lineRule="exact"/>
        <w:rPr>
          <w:rFonts w:ascii="宋体"/>
          <w:bCs/>
          <w:iCs/>
          <w:sz w:val="24"/>
          <w:szCs w:val="24"/>
        </w:rPr>
      </w:pPr>
      <w:r>
        <w:rPr>
          <w:rFonts w:ascii="宋体" w:hAnsi="宋体"/>
          <w:bCs/>
          <w:iCs/>
          <w:sz w:val="24"/>
          <w:szCs w:val="24"/>
        </w:rPr>
        <w:t xml:space="preserve">                                                      </w:t>
      </w:r>
      <w:r w:rsidR="00FB3C4C">
        <w:rPr>
          <w:rFonts w:ascii="宋体" w:hAnsi="宋体"/>
          <w:bCs/>
          <w:iCs/>
          <w:sz w:val="24"/>
          <w:szCs w:val="24"/>
        </w:rPr>
        <w:t xml:space="preserve">  </w:t>
      </w:r>
      <w:r>
        <w:rPr>
          <w:rFonts w:ascii="宋体" w:hAnsi="宋体" w:hint="eastAsia"/>
          <w:bCs/>
          <w:iCs/>
          <w:sz w:val="24"/>
          <w:szCs w:val="24"/>
        </w:rPr>
        <w:t>编号：2</w:t>
      </w:r>
      <w:r>
        <w:rPr>
          <w:rFonts w:ascii="宋体" w:hAnsi="宋体"/>
          <w:bCs/>
          <w:iCs/>
          <w:sz w:val="24"/>
          <w:szCs w:val="24"/>
        </w:rPr>
        <w:t>026-001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6614"/>
      </w:tblGrid>
      <w:tr w:rsidR="00037DC7">
        <w:trPr>
          <w:jc w:val="center"/>
        </w:trPr>
        <w:tc>
          <w:tcPr>
            <w:tcW w:w="2226" w:type="dxa"/>
            <w:tcBorders>
              <w:top w:val="single" w:sz="4" w:space="0" w:color="auto"/>
              <w:left w:val="single" w:sz="4" w:space="0" w:color="auto"/>
              <w:bottom w:val="single" w:sz="4" w:space="0" w:color="auto"/>
              <w:right w:val="single" w:sz="4" w:space="0" w:color="auto"/>
            </w:tcBorders>
            <w:vAlign w:val="center"/>
          </w:tcPr>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b/>
                <w:bCs/>
                <w:iCs/>
                <w:sz w:val="24"/>
                <w:szCs w:val="24"/>
              </w:rPr>
            </w:pPr>
            <w:r>
              <w:rPr>
                <w:rFonts w:ascii="宋体" w:hAnsi="宋体" w:hint="eastAsia"/>
                <w:b/>
                <w:bCs/>
                <w:iCs/>
                <w:sz w:val="24"/>
                <w:szCs w:val="24"/>
              </w:rPr>
              <w:t>投资者关系活动类别</w:t>
            </w:r>
          </w:p>
          <w:p w:rsidR="00037DC7" w:rsidRDefault="00037DC7">
            <w:pPr>
              <w:spacing w:line="480" w:lineRule="atLeast"/>
              <w:jc w:val="center"/>
              <w:rPr>
                <w:rFonts w:ascii="宋体"/>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rsidR="00037DC7" w:rsidRDefault="00037DC7">
            <w:pPr>
              <w:spacing w:line="480" w:lineRule="atLeast"/>
              <w:rPr>
                <w:rFonts w:ascii="宋体"/>
                <w:bCs/>
                <w:iCs/>
                <w:sz w:val="24"/>
                <w:szCs w:val="24"/>
              </w:rPr>
            </w:pPr>
            <w:r>
              <w:rPr>
                <w:rFonts w:ascii="宋体" w:hAnsi="宋体"/>
                <w:bCs/>
                <w:iCs/>
                <w:color w:val="000000"/>
                <w:sz w:val="24"/>
              </w:rPr>
              <w:sym w:font="Wingdings 2" w:char="F052"/>
            </w:r>
            <w:r>
              <w:rPr>
                <w:rFonts w:ascii="宋体" w:hAnsi="宋体" w:hint="eastAsia"/>
                <w:sz w:val="24"/>
                <w:szCs w:val="24"/>
              </w:rPr>
              <w:t>特定对象调研</w:t>
            </w:r>
            <w:r>
              <w:rPr>
                <w:rFonts w:ascii="宋体" w:hAnsi="宋体"/>
                <w:sz w:val="24"/>
                <w:szCs w:val="24"/>
              </w:rPr>
              <w:t xml:space="preserve">        </w:t>
            </w:r>
            <w:r>
              <w:rPr>
                <w:rFonts w:ascii="宋体" w:hAnsi="宋体" w:hint="eastAsia"/>
                <w:bCs/>
                <w:iCs/>
                <w:sz w:val="24"/>
                <w:szCs w:val="24"/>
              </w:rPr>
              <w:t>□</w:t>
            </w:r>
            <w:r>
              <w:rPr>
                <w:rFonts w:ascii="宋体" w:hAnsi="宋体" w:hint="eastAsia"/>
                <w:sz w:val="24"/>
                <w:szCs w:val="24"/>
              </w:rPr>
              <w:t>分析师会议</w:t>
            </w:r>
          </w:p>
          <w:p w:rsidR="00037DC7" w:rsidRDefault="00037DC7">
            <w:pPr>
              <w:spacing w:line="480" w:lineRule="atLeast"/>
              <w:rPr>
                <w:rFonts w:ascii="宋体"/>
                <w:bCs/>
                <w:iCs/>
                <w:sz w:val="24"/>
                <w:szCs w:val="24"/>
              </w:rPr>
            </w:pPr>
            <w:r>
              <w:rPr>
                <w:rFonts w:ascii="宋体" w:hAnsi="宋体" w:hint="eastAsia"/>
                <w:bCs/>
                <w:iCs/>
                <w:sz w:val="24"/>
                <w:szCs w:val="24"/>
              </w:rPr>
              <w:t>□</w:t>
            </w:r>
            <w:r>
              <w:rPr>
                <w:rFonts w:ascii="宋体" w:hAnsi="宋体" w:hint="eastAsia"/>
                <w:sz w:val="24"/>
                <w:szCs w:val="24"/>
              </w:rPr>
              <w:t>媒体采访</w:t>
            </w:r>
            <w:r>
              <w:rPr>
                <w:rFonts w:ascii="宋体" w:hAnsi="宋体"/>
                <w:sz w:val="24"/>
                <w:szCs w:val="24"/>
              </w:rPr>
              <w:t xml:space="preserve">            </w:t>
            </w:r>
            <w:r>
              <w:rPr>
                <w:rFonts w:ascii="宋体" w:hAnsi="宋体" w:hint="eastAsia"/>
                <w:bCs/>
                <w:iCs/>
                <w:sz w:val="24"/>
                <w:szCs w:val="24"/>
              </w:rPr>
              <w:t>□</w:t>
            </w:r>
            <w:r>
              <w:rPr>
                <w:rFonts w:ascii="宋体" w:hAnsi="宋体" w:hint="eastAsia"/>
                <w:sz w:val="24"/>
                <w:szCs w:val="24"/>
              </w:rPr>
              <w:t>业绩说明会</w:t>
            </w:r>
          </w:p>
          <w:p w:rsidR="00037DC7" w:rsidRDefault="00037DC7">
            <w:pPr>
              <w:spacing w:line="480" w:lineRule="atLeast"/>
              <w:rPr>
                <w:rFonts w:ascii="宋体"/>
                <w:bCs/>
                <w:iCs/>
                <w:sz w:val="24"/>
                <w:szCs w:val="24"/>
              </w:rPr>
            </w:pPr>
            <w:r>
              <w:rPr>
                <w:rFonts w:ascii="宋体" w:hAnsi="宋体" w:hint="eastAsia"/>
                <w:bCs/>
                <w:iCs/>
                <w:sz w:val="24"/>
                <w:szCs w:val="24"/>
              </w:rPr>
              <w:t>□</w:t>
            </w:r>
            <w:r>
              <w:rPr>
                <w:rFonts w:ascii="宋体" w:hAnsi="宋体" w:hint="eastAsia"/>
                <w:sz w:val="24"/>
                <w:szCs w:val="24"/>
              </w:rPr>
              <w:t>新闻发布会</w:t>
            </w:r>
            <w:r>
              <w:rPr>
                <w:rFonts w:ascii="宋体" w:hAnsi="宋体"/>
                <w:sz w:val="24"/>
                <w:szCs w:val="24"/>
              </w:rPr>
              <w:t xml:space="preserve">          </w:t>
            </w:r>
            <w:r>
              <w:rPr>
                <w:rFonts w:ascii="宋体" w:hAnsi="宋体" w:hint="eastAsia"/>
                <w:bCs/>
                <w:iCs/>
                <w:sz w:val="24"/>
                <w:szCs w:val="24"/>
              </w:rPr>
              <w:t>□</w:t>
            </w:r>
            <w:r>
              <w:rPr>
                <w:rFonts w:ascii="宋体" w:hAnsi="宋体" w:hint="eastAsia"/>
                <w:sz w:val="24"/>
                <w:szCs w:val="24"/>
              </w:rPr>
              <w:t>路演活动</w:t>
            </w:r>
          </w:p>
          <w:p w:rsidR="00037DC7" w:rsidRDefault="00037DC7">
            <w:pPr>
              <w:tabs>
                <w:tab w:val="left" w:pos="3045"/>
                <w:tab w:val="center" w:pos="3199"/>
              </w:tabs>
              <w:spacing w:line="480" w:lineRule="atLeast"/>
              <w:rPr>
                <w:rFonts w:ascii="宋体"/>
                <w:bCs/>
                <w:iCs/>
                <w:sz w:val="24"/>
                <w:szCs w:val="24"/>
              </w:rPr>
            </w:pPr>
            <w:r>
              <w:rPr>
                <w:rFonts w:ascii="宋体" w:hAnsi="宋体"/>
                <w:bCs/>
                <w:iCs/>
                <w:color w:val="000000"/>
                <w:sz w:val="24"/>
              </w:rPr>
              <w:sym w:font="Wingdings 2" w:char="F052"/>
            </w:r>
            <w:r>
              <w:rPr>
                <w:rFonts w:ascii="宋体" w:hAnsi="宋体" w:hint="eastAsia"/>
                <w:sz w:val="24"/>
                <w:szCs w:val="24"/>
              </w:rPr>
              <w:t>现场参观</w:t>
            </w:r>
            <w:r>
              <w:rPr>
                <w:rFonts w:ascii="宋体"/>
                <w:bCs/>
                <w:iCs/>
                <w:sz w:val="24"/>
                <w:szCs w:val="24"/>
              </w:rPr>
              <w:tab/>
            </w:r>
          </w:p>
          <w:p w:rsidR="00037DC7" w:rsidRDefault="00037DC7">
            <w:pPr>
              <w:tabs>
                <w:tab w:val="center" w:pos="3199"/>
              </w:tabs>
              <w:spacing w:line="480" w:lineRule="atLeast"/>
              <w:rPr>
                <w:rFonts w:ascii="宋体"/>
                <w:bCs/>
                <w:iCs/>
                <w:sz w:val="24"/>
                <w:szCs w:val="24"/>
              </w:rPr>
            </w:pPr>
            <w:r>
              <w:rPr>
                <w:rFonts w:ascii="宋体" w:hAnsi="宋体" w:hint="eastAsia"/>
                <w:bCs/>
                <w:iCs/>
                <w:sz w:val="24"/>
                <w:szCs w:val="24"/>
              </w:rPr>
              <w:t>□</w:t>
            </w:r>
            <w:r>
              <w:rPr>
                <w:rFonts w:ascii="宋体" w:hAnsi="宋体" w:hint="eastAsia"/>
                <w:sz w:val="24"/>
                <w:szCs w:val="24"/>
              </w:rPr>
              <w:t>其他</w:t>
            </w:r>
            <w:r>
              <w:rPr>
                <w:rFonts w:ascii="宋体" w:hAnsi="宋体"/>
                <w:sz w:val="24"/>
                <w:szCs w:val="24"/>
              </w:rPr>
              <w:t xml:space="preserve"> </w:t>
            </w:r>
            <w:r>
              <w:rPr>
                <w:rFonts w:ascii="宋体" w:hAnsi="宋体" w:hint="eastAsia"/>
                <w:sz w:val="24"/>
                <w:szCs w:val="24"/>
              </w:rPr>
              <w:t>（</w:t>
            </w:r>
            <w:r>
              <w:rPr>
                <w:rFonts w:ascii="宋体" w:hAnsi="宋体" w:hint="eastAsia"/>
                <w:sz w:val="24"/>
                <w:szCs w:val="24"/>
                <w:u w:val="single"/>
              </w:rPr>
              <w:t>请文字说明其他活动内容）</w:t>
            </w:r>
          </w:p>
        </w:tc>
      </w:tr>
      <w:tr w:rsidR="00037DC7">
        <w:trPr>
          <w:jc w:val="center"/>
        </w:trPr>
        <w:tc>
          <w:tcPr>
            <w:tcW w:w="2226" w:type="dxa"/>
            <w:tcBorders>
              <w:top w:val="single" w:sz="4" w:space="0" w:color="auto"/>
              <w:left w:val="single" w:sz="4" w:space="0" w:color="auto"/>
              <w:bottom w:val="single" w:sz="4" w:space="0" w:color="auto"/>
              <w:right w:val="single" w:sz="4" w:space="0" w:color="auto"/>
            </w:tcBorders>
            <w:vAlign w:val="center"/>
          </w:tcPr>
          <w:p w:rsidR="00037DC7" w:rsidRDefault="00037DC7">
            <w:pPr>
              <w:snapToGrid w:val="0"/>
              <w:spacing w:line="500" w:lineRule="exact"/>
              <w:jc w:val="center"/>
              <w:rPr>
                <w:b/>
                <w:bCs/>
                <w:iCs/>
                <w:color w:val="000000"/>
                <w:sz w:val="24"/>
              </w:rPr>
            </w:pPr>
            <w:r>
              <w:rPr>
                <w:rFonts w:hint="eastAsia"/>
                <w:b/>
                <w:bCs/>
                <w:iCs/>
                <w:color w:val="000000"/>
                <w:sz w:val="24"/>
              </w:rPr>
              <w:t>来访单位（排名不分先后）</w:t>
            </w:r>
          </w:p>
        </w:tc>
        <w:tc>
          <w:tcPr>
            <w:tcW w:w="6614" w:type="dxa"/>
            <w:tcBorders>
              <w:top w:val="single" w:sz="4" w:space="0" w:color="auto"/>
              <w:left w:val="single" w:sz="4" w:space="0" w:color="auto"/>
              <w:bottom w:val="single" w:sz="4" w:space="0" w:color="auto"/>
              <w:right w:val="single" w:sz="4" w:space="0" w:color="auto"/>
            </w:tcBorders>
            <w:vAlign w:val="center"/>
          </w:tcPr>
          <w:p w:rsidR="00037DC7" w:rsidRDefault="00037DC7">
            <w:pPr>
              <w:rPr>
                <w:sz w:val="24"/>
              </w:rPr>
            </w:pPr>
            <w:r>
              <w:rPr>
                <w:rFonts w:hint="eastAsia"/>
                <w:sz w:val="24"/>
              </w:rPr>
              <w:t>河南农投科创、金陵饭店、康海科技、银河资产、钟山宾馆、现代产业集团、泓信基金、江西大成产投、常州政府基金、高投战新基金、江西金投、名城集团、江苏有线、苏银理财、红树荟金、省环保集团、南昌国金产投、国海投资、南昌产投基金、广州开投智造、泉果基金、东方嘉富、同安投资、云投资本、温州国投基金、国海创新资本、国惠基金、苏豪投资、华安资管、兖矿资本、国泰租赁、苏高新产投、浙江广杰投资、华西银峰、湖北国资运营、大成基金、中信证券资管、西南证券资管、国投创益、青岛海发产投集团、利安人寿、银河投资、金茂创投、兴宝信托、海珠城发、长城资产、申万宏源、中和资本、华能投资、浙江发展、津融卓创、山东发展绿色租赁、广晟资本、厦门象屿、中财龙马、鞍钢资本、省沿海开发投资公司、青岛城投</w:t>
            </w:r>
          </w:p>
        </w:tc>
      </w:tr>
      <w:tr w:rsidR="00037DC7">
        <w:trPr>
          <w:jc w:val="center"/>
        </w:trPr>
        <w:tc>
          <w:tcPr>
            <w:tcW w:w="2226" w:type="dxa"/>
            <w:tcBorders>
              <w:top w:val="single" w:sz="4" w:space="0" w:color="auto"/>
              <w:left w:val="single" w:sz="4" w:space="0" w:color="auto"/>
              <w:bottom w:val="single" w:sz="4" w:space="0" w:color="auto"/>
              <w:right w:val="single" w:sz="4" w:space="0" w:color="auto"/>
            </w:tcBorders>
            <w:vAlign w:val="center"/>
          </w:tcPr>
          <w:p w:rsidR="00037DC7" w:rsidRDefault="00037DC7">
            <w:pPr>
              <w:snapToGrid w:val="0"/>
              <w:spacing w:line="500" w:lineRule="exact"/>
              <w:jc w:val="center"/>
              <w:rPr>
                <w:b/>
                <w:bCs/>
                <w:iCs/>
                <w:color w:val="000000"/>
                <w:sz w:val="24"/>
              </w:rPr>
            </w:pPr>
            <w:r>
              <w:rPr>
                <w:b/>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rsidR="00037DC7" w:rsidRDefault="00037DC7">
            <w:pPr>
              <w:snapToGrid w:val="0"/>
              <w:spacing w:line="500" w:lineRule="exact"/>
              <w:rPr>
                <w:sz w:val="24"/>
              </w:rPr>
            </w:pPr>
            <w:r>
              <w:rPr>
                <w:sz w:val="24"/>
              </w:rPr>
              <w:t>2026</w:t>
            </w:r>
            <w:r>
              <w:rPr>
                <w:sz w:val="24"/>
              </w:rPr>
              <w:t>年</w:t>
            </w:r>
            <w:r>
              <w:rPr>
                <w:rFonts w:hint="eastAsia"/>
                <w:sz w:val="24"/>
              </w:rPr>
              <w:t>1</w:t>
            </w:r>
            <w:r>
              <w:rPr>
                <w:rFonts w:hint="eastAsia"/>
                <w:sz w:val="24"/>
              </w:rPr>
              <w:t>月</w:t>
            </w:r>
            <w:r>
              <w:rPr>
                <w:rFonts w:hint="eastAsia"/>
                <w:sz w:val="24"/>
              </w:rPr>
              <w:t>1</w:t>
            </w:r>
            <w:r>
              <w:rPr>
                <w:sz w:val="24"/>
              </w:rPr>
              <w:t>5</w:t>
            </w:r>
            <w:r>
              <w:rPr>
                <w:sz w:val="24"/>
              </w:rPr>
              <w:t>日</w:t>
            </w:r>
            <w:r>
              <w:rPr>
                <w:rFonts w:hint="eastAsia"/>
                <w:sz w:val="24"/>
              </w:rPr>
              <w:t>13:30-16:</w:t>
            </w:r>
            <w:r>
              <w:rPr>
                <w:sz w:val="24"/>
              </w:rPr>
              <w:t>4</w:t>
            </w:r>
            <w:r>
              <w:rPr>
                <w:rFonts w:hint="eastAsia"/>
                <w:sz w:val="24"/>
              </w:rPr>
              <w:t>0</w:t>
            </w:r>
          </w:p>
        </w:tc>
      </w:tr>
      <w:tr w:rsidR="00037DC7">
        <w:trPr>
          <w:jc w:val="center"/>
        </w:trPr>
        <w:tc>
          <w:tcPr>
            <w:tcW w:w="2226" w:type="dxa"/>
            <w:tcBorders>
              <w:top w:val="single" w:sz="4" w:space="0" w:color="auto"/>
              <w:left w:val="single" w:sz="4" w:space="0" w:color="auto"/>
              <w:bottom w:val="single" w:sz="4" w:space="0" w:color="auto"/>
              <w:right w:val="single" w:sz="4" w:space="0" w:color="auto"/>
            </w:tcBorders>
            <w:vAlign w:val="center"/>
          </w:tcPr>
          <w:p w:rsidR="00037DC7" w:rsidRDefault="00037DC7">
            <w:pPr>
              <w:snapToGrid w:val="0"/>
              <w:spacing w:line="500" w:lineRule="exact"/>
              <w:jc w:val="center"/>
              <w:rPr>
                <w:b/>
                <w:bCs/>
                <w:iCs/>
                <w:color w:val="000000"/>
                <w:sz w:val="24"/>
              </w:rPr>
            </w:pPr>
            <w:r>
              <w:rPr>
                <w:b/>
                <w:bCs/>
                <w:iCs/>
                <w:color w:val="000000"/>
                <w:sz w:val="24"/>
              </w:rPr>
              <w:t>会议地点</w:t>
            </w:r>
          </w:p>
        </w:tc>
        <w:tc>
          <w:tcPr>
            <w:tcW w:w="6614" w:type="dxa"/>
            <w:tcBorders>
              <w:top w:val="single" w:sz="4" w:space="0" w:color="auto"/>
              <w:left w:val="single" w:sz="4" w:space="0" w:color="auto"/>
              <w:bottom w:val="single" w:sz="4" w:space="0" w:color="auto"/>
              <w:right w:val="single" w:sz="4" w:space="0" w:color="auto"/>
            </w:tcBorders>
            <w:vAlign w:val="center"/>
          </w:tcPr>
          <w:p w:rsidR="00037DC7" w:rsidRDefault="00037DC7">
            <w:pPr>
              <w:autoSpaceDE w:val="0"/>
              <w:autoSpaceDN w:val="0"/>
              <w:adjustRightInd w:val="0"/>
              <w:snapToGrid w:val="0"/>
              <w:spacing w:line="500" w:lineRule="exact"/>
              <w:rPr>
                <w:sz w:val="24"/>
              </w:rPr>
            </w:pPr>
            <w:r>
              <w:rPr>
                <w:sz w:val="24"/>
              </w:rPr>
              <w:t>淮安高铁金陵大酒店</w:t>
            </w:r>
          </w:p>
        </w:tc>
      </w:tr>
      <w:tr w:rsidR="00037DC7">
        <w:trPr>
          <w:jc w:val="center"/>
        </w:trPr>
        <w:tc>
          <w:tcPr>
            <w:tcW w:w="2226" w:type="dxa"/>
            <w:tcBorders>
              <w:top w:val="single" w:sz="4" w:space="0" w:color="auto"/>
              <w:left w:val="single" w:sz="4" w:space="0" w:color="auto"/>
              <w:bottom w:val="single" w:sz="4" w:space="0" w:color="auto"/>
              <w:right w:val="single" w:sz="4" w:space="0" w:color="auto"/>
            </w:tcBorders>
            <w:vAlign w:val="center"/>
          </w:tcPr>
          <w:p w:rsidR="00037DC7" w:rsidRDefault="00037DC7">
            <w:pPr>
              <w:snapToGrid w:val="0"/>
              <w:spacing w:line="500" w:lineRule="exact"/>
              <w:jc w:val="center"/>
              <w:rPr>
                <w:b/>
                <w:bCs/>
                <w:iCs/>
                <w:color w:val="000000"/>
                <w:sz w:val="24"/>
              </w:rPr>
            </w:pPr>
            <w:r>
              <w:rPr>
                <w:b/>
                <w:bCs/>
                <w:iCs/>
                <w:color w:val="000000"/>
                <w:sz w:val="24"/>
              </w:rPr>
              <w:t>参观地点</w:t>
            </w:r>
          </w:p>
        </w:tc>
        <w:tc>
          <w:tcPr>
            <w:tcW w:w="6614" w:type="dxa"/>
            <w:tcBorders>
              <w:top w:val="single" w:sz="4" w:space="0" w:color="auto"/>
              <w:left w:val="single" w:sz="4" w:space="0" w:color="auto"/>
              <w:bottom w:val="single" w:sz="4" w:space="0" w:color="auto"/>
              <w:right w:val="single" w:sz="4" w:space="0" w:color="auto"/>
            </w:tcBorders>
            <w:vAlign w:val="center"/>
          </w:tcPr>
          <w:p w:rsidR="00037DC7" w:rsidRDefault="00037DC7">
            <w:pPr>
              <w:autoSpaceDE w:val="0"/>
              <w:autoSpaceDN w:val="0"/>
              <w:adjustRightInd w:val="0"/>
              <w:snapToGrid w:val="0"/>
              <w:spacing w:line="500" w:lineRule="exact"/>
              <w:rPr>
                <w:sz w:val="24"/>
              </w:rPr>
            </w:pPr>
            <w:r>
              <w:rPr>
                <w:rFonts w:hint="eastAsia"/>
                <w:sz w:val="24"/>
              </w:rPr>
              <w:t>国能公司张兴储气库项目现场、</w:t>
            </w:r>
            <w:r>
              <w:rPr>
                <w:rFonts w:hint="eastAsia"/>
                <w:sz w:val="24"/>
              </w:rPr>
              <w:t>3</w:t>
            </w:r>
            <w:r>
              <w:rPr>
                <w:sz w:val="24"/>
              </w:rPr>
              <w:t>00</w:t>
            </w:r>
            <w:r>
              <w:rPr>
                <w:rFonts w:hint="eastAsia"/>
                <w:sz w:val="24"/>
              </w:rPr>
              <w:t>万吨制盐募投项目现场</w:t>
            </w:r>
          </w:p>
        </w:tc>
      </w:tr>
      <w:tr w:rsidR="00037DC7">
        <w:trPr>
          <w:jc w:val="center"/>
        </w:trPr>
        <w:tc>
          <w:tcPr>
            <w:tcW w:w="2226" w:type="dxa"/>
            <w:tcBorders>
              <w:top w:val="single" w:sz="4" w:space="0" w:color="auto"/>
              <w:left w:val="single" w:sz="4" w:space="0" w:color="auto"/>
              <w:bottom w:val="single" w:sz="4" w:space="0" w:color="auto"/>
              <w:right w:val="single" w:sz="4" w:space="0" w:color="auto"/>
            </w:tcBorders>
            <w:vAlign w:val="center"/>
          </w:tcPr>
          <w:p w:rsidR="00037DC7" w:rsidRDefault="00037DC7">
            <w:pPr>
              <w:spacing w:line="480" w:lineRule="atLeast"/>
              <w:jc w:val="center"/>
              <w:rPr>
                <w:rFonts w:ascii="宋体" w:hAnsi="宋体"/>
                <w:b/>
                <w:bCs/>
                <w:iCs/>
                <w:sz w:val="24"/>
                <w:szCs w:val="24"/>
              </w:rPr>
            </w:pPr>
            <w:r>
              <w:rPr>
                <w:b/>
                <w:bCs/>
                <w:iCs/>
                <w:color w:val="000000"/>
                <w:sz w:val="24"/>
              </w:rPr>
              <w:t>上市公司出席人员</w:t>
            </w:r>
          </w:p>
        </w:tc>
        <w:tc>
          <w:tcPr>
            <w:tcW w:w="6614" w:type="dxa"/>
            <w:tcBorders>
              <w:top w:val="single" w:sz="4" w:space="0" w:color="auto"/>
              <w:left w:val="single" w:sz="4" w:space="0" w:color="auto"/>
              <w:bottom w:val="single" w:sz="4" w:space="0" w:color="auto"/>
              <w:right w:val="single" w:sz="4" w:space="0" w:color="auto"/>
            </w:tcBorders>
          </w:tcPr>
          <w:p w:rsidR="00037DC7" w:rsidRDefault="00037DC7">
            <w:pPr>
              <w:adjustRightInd w:val="0"/>
              <w:snapToGrid w:val="0"/>
              <w:spacing w:line="500" w:lineRule="exact"/>
              <w:rPr>
                <w:bCs/>
                <w:iCs/>
                <w:color w:val="000000"/>
                <w:sz w:val="24"/>
              </w:rPr>
            </w:pPr>
            <w:r>
              <w:rPr>
                <w:rFonts w:hint="eastAsia"/>
                <w:bCs/>
                <w:iCs/>
                <w:color w:val="000000"/>
                <w:sz w:val="24"/>
              </w:rPr>
              <w:t>董事长：吴旭峰</w:t>
            </w:r>
          </w:p>
          <w:p w:rsidR="00037DC7" w:rsidRDefault="00037DC7">
            <w:pPr>
              <w:adjustRightInd w:val="0"/>
              <w:snapToGrid w:val="0"/>
              <w:spacing w:line="500" w:lineRule="exact"/>
              <w:rPr>
                <w:bCs/>
                <w:iCs/>
                <w:color w:val="000000"/>
                <w:sz w:val="24"/>
              </w:rPr>
            </w:pPr>
            <w:r>
              <w:rPr>
                <w:bCs/>
                <w:iCs/>
                <w:color w:val="000000"/>
                <w:sz w:val="24"/>
              </w:rPr>
              <w:t>总会计师：许海军</w:t>
            </w:r>
          </w:p>
          <w:p w:rsidR="00037DC7" w:rsidRDefault="00037DC7">
            <w:pPr>
              <w:spacing w:line="480" w:lineRule="atLeast"/>
              <w:rPr>
                <w:rFonts w:ascii="宋体" w:hAnsi="宋体"/>
                <w:bCs/>
                <w:iCs/>
                <w:sz w:val="24"/>
                <w:szCs w:val="24"/>
              </w:rPr>
            </w:pPr>
            <w:r>
              <w:rPr>
                <w:bCs/>
                <w:iCs/>
                <w:color w:val="000000"/>
                <w:sz w:val="24"/>
              </w:rPr>
              <w:t>董事会秘书：戴亮</w:t>
            </w:r>
          </w:p>
        </w:tc>
      </w:tr>
      <w:tr w:rsidR="00037DC7">
        <w:trPr>
          <w:trHeight w:val="1392"/>
          <w:jc w:val="center"/>
        </w:trPr>
        <w:tc>
          <w:tcPr>
            <w:tcW w:w="2226" w:type="dxa"/>
            <w:tcBorders>
              <w:top w:val="single" w:sz="4" w:space="0" w:color="auto"/>
              <w:left w:val="single" w:sz="4" w:space="0" w:color="auto"/>
              <w:bottom w:val="single" w:sz="4" w:space="0" w:color="auto"/>
              <w:right w:val="single" w:sz="4" w:space="0" w:color="auto"/>
            </w:tcBorders>
            <w:vAlign w:val="center"/>
          </w:tcPr>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hAnsi="宋体"/>
                <w:b/>
                <w:bCs/>
                <w:iCs/>
                <w:sz w:val="24"/>
                <w:szCs w:val="24"/>
              </w:rPr>
            </w:pPr>
          </w:p>
          <w:p w:rsidR="00037DC7" w:rsidRDefault="00037DC7">
            <w:pPr>
              <w:spacing w:line="480" w:lineRule="atLeast"/>
              <w:jc w:val="center"/>
              <w:rPr>
                <w:rFonts w:ascii="宋体"/>
                <w:b/>
                <w:bCs/>
                <w:iCs/>
                <w:sz w:val="24"/>
                <w:szCs w:val="24"/>
              </w:rPr>
            </w:pPr>
            <w:r>
              <w:rPr>
                <w:rFonts w:ascii="宋体" w:hAnsi="宋体" w:hint="eastAsia"/>
                <w:b/>
                <w:bCs/>
                <w:iCs/>
                <w:sz w:val="24"/>
                <w:szCs w:val="24"/>
              </w:rPr>
              <w:t>投资者关系活动主要内容介绍</w:t>
            </w:r>
          </w:p>
          <w:p w:rsidR="00037DC7" w:rsidRDefault="00037DC7">
            <w:pPr>
              <w:spacing w:line="480" w:lineRule="atLeast"/>
              <w:jc w:val="center"/>
              <w:rPr>
                <w:rFonts w:ascii="宋体"/>
                <w:b/>
                <w:bCs/>
                <w:iCs/>
                <w:sz w:val="24"/>
                <w:szCs w:val="24"/>
              </w:rPr>
            </w:pPr>
          </w:p>
        </w:tc>
        <w:tc>
          <w:tcPr>
            <w:tcW w:w="6614" w:type="dxa"/>
            <w:tcBorders>
              <w:top w:val="single" w:sz="4" w:space="0" w:color="auto"/>
              <w:left w:val="single" w:sz="4" w:space="0" w:color="auto"/>
              <w:bottom w:val="single" w:sz="4" w:space="0" w:color="auto"/>
              <w:right w:val="single" w:sz="4" w:space="0" w:color="auto"/>
            </w:tcBorders>
            <w:vAlign w:val="center"/>
          </w:tcPr>
          <w:p w:rsidR="00F9514E" w:rsidRPr="00F9514E" w:rsidRDefault="00F9514E" w:rsidP="00F9514E">
            <w:pPr>
              <w:spacing w:line="520" w:lineRule="exact"/>
              <w:ind w:firstLineChars="200" w:firstLine="482"/>
              <w:rPr>
                <w:rFonts w:ascii="宋体" w:hAnsi="宋体"/>
                <w:b/>
                <w:sz w:val="24"/>
              </w:rPr>
            </w:pPr>
            <w:r w:rsidRPr="00F9514E">
              <w:rPr>
                <w:rFonts w:ascii="宋体" w:hAnsi="宋体" w:hint="eastAsia"/>
                <w:b/>
                <w:sz w:val="24"/>
              </w:rPr>
              <w:lastRenderedPageBreak/>
              <w:t xml:space="preserve">1、公司与中国石油集团储气库有限公司进行合作的背景及各方投资占比如何？  </w:t>
            </w:r>
          </w:p>
          <w:p w:rsidR="00F9514E" w:rsidRPr="00F9514E" w:rsidRDefault="00F9514E" w:rsidP="00F9514E">
            <w:pPr>
              <w:spacing w:line="520" w:lineRule="exact"/>
              <w:ind w:firstLineChars="200" w:firstLine="480"/>
              <w:rPr>
                <w:rFonts w:ascii="宋体" w:hAnsi="宋体"/>
                <w:sz w:val="24"/>
              </w:rPr>
            </w:pPr>
            <w:r w:rsidRPr="00F9514E">
              <w:rPr>
                <w:rFonts w:ascii="宋体" w:hAnsi="宋体" w:hint="eastAsia"/>
                <w:sz w:val="24"/>
              </w:rPr>
              <w:t>答：公司依托岩盐主业积累的腔体资源优势及相关技术储</w:t>
            </w:r>
            <w:r w:rsidRPr="00F9514E">
              <w:rPr>
                <w:rFonts w:ascii="宋体" w:hAnsi="宋体" w:hint="eastAsia"/>
                <w:sz w:val="24"/>
              </w:rPr>
              <w:lastRenderedPageBreak/>
              <w:t>备，结合国家储气调峰能力建设相关要求，与储气库公司开展储气库业务合作。投资占比为双方基于合作实际协商确定，具体为公司占比51%、储气库公司占比49%。</w:t>
            </w:r>
          </w:p>
          <w:p w:rsidR="00F9514E" w:rsidRPr="00F9514E" w:rsidRDefault="00F9514E" w:rsidP="00F9514E">
            <w:pPr>
              <w:spacing w:line="520" w:lineRule="exact"/>
              <w:ind w:firstLineChars="200" w:firstLine="482"/>
              <w:rPr>
                <w:rFonts w:ascii="宋体" w:hAnsi="宋体"/>
                <w:b/>
                <w:sz w:val="24"/>
              </w:rPr>
            </w:pPr>
            <w:r w:rsidRPr="00F9514E">
              <w:rPr>
                <w:rFonts w:ascii="宋体" w:hAnsi="宋体" w:hint="eastAsia"/>
                <w:b/>
                <w:sz w:val="24"/>
              </w:rPr>
              <w:t>2、2025年以来，盐价进入下行区间，未来产业结构是否会发生变化？烧碱、纯碱行业格局的变化是否会导致盐价保持低迷？</w:t>
            </w:r>
          </w:p>
          <w:p w:rsidR="00F9514E" w:rsidRPr="00F9514E" w:rsidRDefault="00F9514E" w:rsidP="00F9514E">
            <w:pPr>
              <w:spacing w:line="520" w:lineRule="exact"/>
              <w:ind w:firstLineChars="200" w:firstLine="480"/>
              <w:rPr>
                <w:rFonts w:ascii="宋体" w:hAnsi="宋体"/>
                <w:sz w:val="24"/>
              </w:rPr>
            </w:pPr>
            <w:r w:rsidRPr="00F9514E">
              <w:rPr>
                <w:rFonts w:ascii="宋体" w:hAnsi="宋体" w:hint="eastAsia"/>
                <w:sz w:val="24"/>
              </w:rPr>
              <w:t>答：原盐作为基础化工品，</w:t>
            </w:r>
            <w:r w:rsidRPr="00F9514E">
              <w:rPr>
                <w:rFonts w:ascii="宋体" w:hAnsi="宋体"/>
                <w:sz w:val="24"/>
              </w:rPr>
              <w:t>目前没有其他可以</w:t>
            </w:r>
            <w:r w:rsidRPr="00F9514E">
              <w:rPr>
                <w:rFonts w:ascii="宋体" w:hAnsi="宋体" w:hint="eastAsia"/>
                <w:sz w:val="24"/>
              </w:rPr>
              <w:t>替代</w:t>
            </w:r>
            <w:r w:rsidRPr="00F9514E">
              <w:rPr>
                <w:rFonts w:ascii="宋体" w:hAnsi="宋体"/>
                <w:sz w:val="24"/>
              </w:rPr>
              <w:t>的</w:t>
            </w:r>
            <w:r w:rsidRPr="00F9514E">
              <w:rPr>
                <w:rFonts w:ascii="宋体" w:hAnsi="宋体" w:hint="eastAsia"/>
                <w:sz w:val="24"/>
              </w:rPr>
              <w:t>产品，当前市场供需总体平衡，长期走势具备支撑。公司盐产品在区位、规模、能耗及工艺等方面具备竞争优势，成本控制能力行业领先。纯碱行业供需格局对公司影响有限，公司通过成本优势及产品高端化升级，保障业务稳定发展。</w:t>
            </w:r>
          </w:p>
          <w:p w:rsidR="00F9514E" w:rsidRPr="00F9514E" w:rsidRDefault="00F9514E" w:rsidP="00F9514E">
            <w:pPr>
              <w:spacing w:line="520" w:lineRule="exact"/>
              <w:ind w:firstLineChars="200" w:firstLine="482"/>
              <w:rPr>
                <w:rFonts w:ascii="宋体" w:hAnsi="宋体"/>
                <w:b/>
                <w:sz w:val="24"/>
              </w:rPr>
            </w:pPr>
            <w:r w:rsidRPr="00F9514E">
              <w:rPr>
                <w:rFonts w:ascii="宋体" w:hAnsi="宋体" w:hint="eastAsia"/>
                <w:b/>
                <w:sz w:val="24"/>
              </w:rPr>
              <w:t>3、行业竞争对公司有何影响，进口盐相关贸易政策变动对公司有何影响？</w:t>
            </w:r>
          </w:p>
          <w:p w:rsidR="00F9514E" w:rsidRPr="00F9514E" w:rsidRDefault="00F9514E" w:rsidP="00F9514E">
            <w:pPr>
              <w:spacing w:line="520" w:lineRule="exact"/>
              <w:ind w:firstLineChars="200" w:firstLine="480"/>
              <w:rPr>
                <w:rFonts w:ascii="宋体" w:hAnsi="宋体"/>
                <w:sz w:val="24"/>
              </w:rPr>
            </w:pPr>
            <w:r w:rsidRPr="00F9514E">
              <w:rPr>
                <w:rFonts w:ascii="宋体" w:hAnsi="宋体" w:hint="eastAsia"/>
                <w:sz w:val="24"/>
              </w:rPr>
              <w:t>答：国内原盐市场存在合理供需缺口，行业竞争将推动低效产能优化。公司新建的储气库卤水制盐综合利用工程项目凭借绿电应用、工艺技术、资源循环利用等优势，具备较强市场竞争力，进口盐及贸易政策变动对公司影响较小。</w:t>
            </w:r>
          </w:p>
          <w:p w:rsidR="00F9514E" w:rsidRPr="00F9514E" w:rsidRDefault="00F9514E" w:rsidP="00F9514E">
            <w:pPr>
              <w:spacing w:line="520" w:lineRule="exact"/>
              <w:ind w:firstLineChars="200" w:firstLine="482"/>
              <w:rPr>
                <w:rFonts w:ascii="宋体" w:hAnsi="宋体"/>
                <w:b/>
                <w:sz w:val="24"/>
              </w:rPr>
            </w:pPr>
            <w:r w:rsidRPr="00F9514E">
              <w:rPr>
                <w:rFonts w:ascii="宋体" w:hAnsi="宋体" w:hint="eastAsia"/>
                <w:b/>
                <w:sz w:val="24"/>
              </w:rPr>
              <w:t>4、公司有哪些保障储气库业务稳定发展的相关举措？</w:t>
            </w:r>
          </w:p>
          <w:p w:rsidR="00F9514E" w:rsidRPr="00F9514E" w:rsidRDefault="00F9514E" w:rsidP="00F9514E">
            <w:pPr>
              <w:spacing w:line="520" w:lineRule="exact"/>
              <w:ind w:firstLineChars="200" w:firstLine="480"/>
              <w:rPr>
                <w:rFonts w:ascii="宋体" w:hAnsi="宋体"/>
                <w:sz w:val="24"/>
              </w:rPr>
            </w:pPr>
            <w:r w:rsidRPr="00F9514E">
              <w:rPr>
                <w:rFonts w:ascii="宋体" w:hAnsi="宋体" w:hint="eastAsia"/>
                <w:sz w:val="24"/>
              </w:rPr>
              <w:t>答：储气库核心功能为天然气调峰储备，目前主要开展代储业务。项目前期可行性分析相关测算具备合理性，未来将依托多业务模式及区位优势，保障业务稳定发展，周转率根据实际调峰需求动态调整。</w:t>
            </w:r>
          </w:p>
          <w:p w:rsidR="00F9514E" w:rsidRPr="00F9514E" w:rsidRDefault="00F9514E" w:rsidP="00F9514E">
            <w:pPr>
              <w:spacing w:line="520" w:lineRule="exact"/>
              <w:ind w:firstLineChars="200" w:firstLine="482"/>
              <w:rPr>
                <w:rFonts w:ascii="宋体" w:hAnsi="宋体"/>
                <w:b/>
                <w:sz w:val="24"/>
              </w:rPr>
            </w:pPr>
            <w:r w:rsidRPr="00F9514E">
              <w:rPr>
                <w:rFonts w:ascii="宋体" w:hAnsi="宋体" w:hint="eastAsia"/>
                <w:b/>
                <w:sz w:val="24"/>
              </w:rPr>
              <w:t>5、储气库辐射范围及管输相关情况如何？</w:t>
            </w:r>
          </w:p>
          <w:p w:rsidR="00F9514E" w:rsidRPr="00F9514E" w:rsidRDefault="00F9514E" w:rsidP="00F9514E">
            <w:pPr>
              <w:spacing w:line="520" w:lineRule="exact"/>
              <w:ind w:firstLineChars="200" w:firstLine="480"/>
              <w:rPr>
                <w:rFonts w:ascii="宋体" w:hAnsi="宋体"/>
                <w:sz w:val="24"/>
              </w:rPr>
            </w:pPr>
            <w:r w:rsidRPr="00F9514E">
              <w:rPr>
                <w:rFonts w:ascii="宋体" w:hAnsi="宋体" w:hint="eastAsia"/>
                <w:sz w:val="24"/>
              </w:rPr>
              <w:t>答：储气库业务可覆盖华东地区相关区域，</w:t>
            </w:r>
            <w:r w:rsidR="005D3BB0">
              <w:rPr>
                <w:rFonts w:ascii="宋体" w:hAnsi="宋体" w:hint="eastAsia"/>
                <w:sz w:val="24"/>
              </w:rPr>
              <w:t>储气库与主管道已经连通</w:t>
            </w:r>
            <w:r w:rsidRPr="00F9514E">
              <w:rPr>
                <w:rFonts w:ascii="宋体" w:hAnsi="宋体" w:hint="eastAsia"/>
                <w:sz w:val="24"/>
              </w:rPr>
              <w:t>。</w:t>
            </w:r>
          </w:p>
          <w:p w:rsidR="00F9514E" w:rsidRPr="00F9514E" w:rsidRDefault="005D3BB0" w:rsidP="00F9514E">
            <w:pPr>
              <w:spacing w:line="520" w:lineRule="exact"/>
              <w:ind w:firstLineChars="200" w:firstLine="482"/>
              <w:rPr>
                <w:rFonts w:ascii="宋体" w:hAnsi="宋体"/>
                <w:b/>
                <w:sz w:val="24"/>
              </w:rPr>
            </w:pPr>
            <w:r>
              <w:rPr>
                <w:rFonts w:ascii="宋体" w:hAnsi="宋体"/>
                <w:b/>
                <w:sz w:val="24"/>
              </w:rPr>
              <w:t>6</w:t>
            </w:r>
            <w:r w:rsidR="00F9514E" w:rsidRPr="00F9514E">
              <w:rPr>
                <w:rFonts w:ascii="宋体" w:hAnsi="宋体" w:hint="eastAsia"/>
                <w:b/>
                <w:sz w:val="24"/>
              </w:rPr>
              <w:t>、</w:t>
            </w:r>
            <w:r w:rsidR="00F9514E" w:rsidRPr="00F9514E">
              <w:rPr>
                <w:rFonts w:ascii="宋体" w:hAnsi="宋体" w:hint="eastAsia"/>
                <w:b/>
                <w:bCs/>
                <w:sz w:val="24"/>
              </w:rPr>
              <w:t>张兴储气库二期工程的建设规划如何，未来两年是否存在新增库容量的安排？公司盐产品及纯碱业务的未来销量预期又如何？</w:t>
            </w:r>
          </w:p>
          <w:p w:rsidR="00F9514E" w:rsidRPr="00F9514E" w:rsidRDefault="005D3BB0" w:rsidP="00F9514E">
            <w:pPr>
              <w:spacing w:line="520" w:lineRule="exact"/>
              <w:ind w:firstLineChars="200" w:firstLine="480"/>
              <w:rPr>
                <w:rFonts w:ascii="宋体" w:hAnsi="宋体"/>
                <w:sz w:val="24"/>
              </w:rPr>
            </w:pPr>
            <w:r>
              <w:rPr>
                <w:rFonts w:ascii="宋体" w:hAnsi="宋体" w:hint="eastAsia"/>
                <w:sz w:val="24"/>
              </w:rPr>
              <w:t>答：张兴储气库二期</w:t>
            </w:r>
            <w:r w:rsidR="00F9514E" w:rsidRPr="00F9514E">
              <w:rPr>
                <w:rFonts w:ascii="宋体" w:hAnsi="宋体" w:hint="eastAsia"/>
                <w:sz w:val="24"/>
              </w:rPr>
              <w:t>规划为</w:t>
            </w:r>
            <w:r>
              <w:rPr>
                <w:rFonts w:ascii="宋体" w:hAnsi="宋体"/>
                <w:sz w:val="24"/>
              </w:rPr>
              <w:t>1</w:t>
            </w:r>
            <w:r w:rsidR="00F9514E" w:rsidRPr="00F9514E">
              <w:rPr>
                <w:rFonts w:ascii="宋体" w:hAnsi="宋体" w:hint="eastAsia"/>
                <w:sz w:val="24"/>
              </w:rPr>
              <w:t>0亿立方米库容。公司盐产品产销保持平衡，高端客户合作稳定，未来销量将维持稳定；纯碱业务聚焦差异化、高端化发展，不受行业供需格局大幅影响。盐产品通过规模化、新工艺、绿电提升及精细化管理，持续保持成本优势。</w:t>
            </w:r>
          </w:p>
          <w:p w:rsidR="00F9514E" w:rsidRPr="00F9514E" w:rsidRDefault="005D3BB0" w:rsidP="00F9514E">
            <w:pPr>
              <w:spacing w:line="520" w:lineRule="exact"/>
              <w:ind w:firstLineChars="200" w:firstLine="482"/>
              <w:rPr>
                <w:rFonts w:ascii="宋体" w:hAnsi="宋体"/>
                <w:b/>
                <w:sz w:val="24"/>
              </w:rPr>
            </w:pPr>
            <w:r>
              <w:rPr>
                <w:rFonts w:ascii="宋体" w:hAnsi="宋体"/>
                <w:b/>
                <w:sz w:val="24"/>
              </w:rPr>
              <w:t>7</w:t>
            </w:r>
            <w:r w:rsidR="00F9514E" w:rsidRPr="00F9514E">
              <w:rPr>
                <w:rFonts w:ascii="宋体" w:hAnsi="宋体" w:hint="eastAsia"/>
                <w:b/>
                <w:sz w:val="24"/>
              </w:rPr>
              <w:t xml:space="preserve">、压缩空气储能项目运营情况？ </w:t>
            </w:r>
          </w:p>
          <w:p w:rsidR="00F9514E" w:rsidRPr="00F9514E" w:rsidRDefault="00F9514E" w:rsidP="00F9514E">
            <w:pPr>
              <w:spacing w:line="520" w:lineRule="exact"/>
              <w:ind w:firstLineChars="200" w:firstLine="480"/>
              <w:rPr>
                <w:rFonts w:ascii="宋体" w:hAnsi="宋体"/>
                <w:sz w:val="24"/>
              </w:rPr>
            </w:pPr>
            <w:r w:rsidRPr="00F9514E">
              <w:rPr>
                <w:rFonts w:ascii="宋体" w:hAnsi="宋体" w:hint="eastAsia"/>
                <w:sz w:val="24"/>
              </w:rPr>
              <w:t>答：国信苏盐储能项目一期已投产、二期处于调试阶段，</w:t>
            </w:r>
            <w:r w:rsidR="00146A4E" w:rsidRPr="001430E0">
              <w:rPr>
                <w:rFonts w:ascii="宋体" w:hAnsi="宋体" w:hint="eastAsia"/>
                <w:sz w:val="24"/>
              </w:rPr>
              <w:t>目前</w:t>
            </w:r>
            <w:r w:rsidRPr="001430E0">
              <w:rPr>
                <w:rFonts w:ascii="宋体" w:hAnsi="宋体" w:hint="eastAsia"/>
                <w:sz w:val="24"/>
              </w:rPr>
              <w:t>是</w:t>
            </w:r>
            <w:r w:rsidR="00F2402E" w:rsidRPr="001430E0">
              <w:rPr>
                <w:rFonts w:ascii="宋体" w:hAnsi="宋体" w:hint="eastAsia"/>
                <w:sz w:val="24"/>
              </w:rPr>
              <w:t>国内已投产</w:t>
            </w:r>
            <w:r w:rsidR="00D1255B" w:rsidRPr="001430E0">
              <w:rPr>
                <w:rFonts w:ascii="宋体" w:hAnsi="宋体" w:hint="eastAsia"/>
                <w:sz w:val="24"/>
              </w:rPr>
              <w:t>规模最大的</w:t>
            </w:r>
            <w:r w:rsidRPr="001430E0">
              <w:rPr>
                <w:rFonts w:ascii="宋体" w:hAnsi="宋体" w:hint="eastAsia"/>
                <w:sz w:val="24"/>
              </w:rPr>
              <w:t>压缩空气储能</w:t>
            </w:r>
            <w:r w:rsidR="00D74FD3" w:rsidRPr="001430E0">
              <w:rPr>
                <w:rFonts w:ascii="宋体" w:hAnsi="宋体" w:hint="eastAsia"/>
                <w:sz w:val="24"/>
              </w:rPr>
              <w:t>机组</w:t>
            </w:r>
            <w:r w:rsidRPr="001430E0">
              <w:rPr>
                <w:rFonts w:ascii="宋体" w:hAnsi="宋体" w:hint="eastAsia"/>
                <w:sz w:val="24"/>
              </w:rPr>
              <w:t>，</w:t>
            </w:r>
            <w:r w:rsidRPr="00F9514E">
              <w:rPr>
                <w:rFonts w:ascii="宋体" w:hAnsi="宋体" w:hint="eastAsia"/>
                <w:sz w:val="24"/>
              </w:rPr>
              <w:t>项目可将多余电</w:t>
            </w:r>
            <w:r w:rsidR="001F0450">
              <w:rPr>
                <w:rFonts w:ascii="宋体" w:hAnsi="宋体" w:hint="eastAsia"/>
                <w:sz w:val="24"/>
              </w:rPr>
              <w:t>能</w:t>
            </w:r>
            <w:bookmarkStart w:id="0" w:name="_GoBack"/>
            <w:bookmarkEnd w:id="0"/>
            <w:r w:rsidRPr="00F9514E">
              <w:rPr>
                <w:rFonts w:ascii="宋体" w:hAnsi="宋体" w:hint="eastAsia"/>
                <w:sz w:val="24"/>
              </w:rPr>
              <w:t>转换为空气能储存，未来主要收益来源于股权投资及盐腔租赁业务。</w:t>
            </w:r>
          </w:p>
          <w:p w:rsidR="00F9514E" w:rsidRPr="00F9514E" w:rsidRDefault="005D3BB0" w:rsidP="00F9514E">
            <w:pPr>
              <w:spacing w:line="520" w:lineRule="exact"/>
              <w:ind w:firstLineChars="200" w:firstLine="482"/>
              <w:rPr>
                <w:rFonts w:ascii="宋体" w:hAnsi="宋体"/>
                <w:b/>
                <w:sz w:val="24"/>
              </w:rPr>
            </w:pPr>
            <w:r>
              <w:rPr>
                <w:rFonts w:ascii="宋体" w:hAnsi="宋体"/>
                <w:b/>
                <w:sz w:val="24"/>
              </w:rPr>
              <w:t>8</w:t>
            </w:r>
            <w:r w:rsidR="00F9514E" w:rsidRPr="00F9514E">
              <w:rPr>
                <w:rFonts w:ascii="宋体" w:hAnsi="宋体" w:hint="eastAsia"/>
                <w:b/>
                <w:sz w:val="24"/>
              </w:rPr>
              <w:t>、目前广钢气体与苏盐井神合资公司主要的商业模式是什么？</w:t>
            </w:r>
          </w:p>
          <w:p w:rsidR="00F9514E" w:rsidRPr="00F9514E" w:rsidRDefault="00F9514E" w:rsidP="00F9514E">
            <w:pPr>
              <w:spacing w:line="520" w:lineRule="exact"/>
              <w:ind w:firstLineChars="200" w:firstLine="480"/>
              <w:rPr>
                <w:rFonts w:ascii="宋体" w:hAnsi="宋体"/>
                <w:sz w:val="24"/>
              </w:rPr>
            </w:pPr>
            <w:r w:rsidRPr="00F9514E">
              <w:rPr>
                <w:rFonts w:ascii="宋体" w:hAnsi="宋体" w:hint="eastAsia"/>
                <w:sz w:val="24"/>
              </w:rPr>
              <w:t>答：合资公司采用“股权合作+盐穴租赁”模式，相关合作旨在积累密封性要求</w:t>
            </w:r>
            <w:r w:rsidRPr="00F9514E">
              <w:rPr>
                <w:rFonts w:ascii="宋体" w:hAnsi="宋体"/>
                <w:sz w:val="24"/>
              </w:rPr>
              <w:t>较</w:t>
            </w:r>
            <w:r w:rsidRPr="00F9514E">
              <w:rPr>
                <w:rFonts w:ascii="宋体" w:hAnsi="宋体" w:hint="eastAsia"/>
                <w:sz w:val="24"/>
              </w:rPr>
              <w:t>高的小分子气体存储相关技术经验。</w:t>
            </w:r>
          </w:p>
          <w:p w:rsidR="00F9514E" w:rsidRPr="00F9514E" w:rsidRDefault="005D3BB0" w:rsidP="00F9514E">
            <w:pPr>
              <w:spacing w:line="520" w:lineRule="exact"/>
              <w:ind w:firstLineChars="200" w:firstLine="482"/>
              <w:rPr>
                <w:rFonts w:ascii="宋体" w:hAnsi="宋体"/>
                <w:b/>
                <w:sz w:val="24"/>
              </w:rPr>
            </w:pPr>
            <w:r>
              <w:rPr>
                <w:rFonts w:ascii="宋体" w:hAnsi="宋体"/>
                <w:b/>
                <w:sz w:val="24"/>
              </w:rPr>
              <w:t>9</w:t>
            </w:r>
            <w:r w:rsidR="00F9514E" w:rsidRPr="00F9514E">
              <w:rPr>
                <w:rFonts w:ascii="宋体" w:hAnsi="宋体" w:hint="eastAsia"/>
                <w:b/>
                <w:sz w:val="24"/>
              </w:rPr>
              <w:t xml:space="preserve">、四季度公司盈利能力如何？ </w:t>
            </w:r>
          </w:p>
          <w:p w:rsidR="00037DC7" w:rsidRDefault="00F9514E" w:rsidP="00F9514E">
            <w:pPr>
              <w:spacing w:line="480" w:lineRule="atLeast"/>
              <w:ind w:firstLineChars="200" w:firstLine="480"/>
              <w:rPr>
                <w:rFonts w:ascii="宋体" w:hAnsi="宋体"/>
                <w:bCs/>
                <w:iCs/>
                <w:color w:val="FF0000"/>
                <w:sz w:val="24"/>
                <w:szCs w:val="24"/>
              </w:rPr>
            </w:pPr>
            <w:r w:rsidRPr="00F9514E">
              <w:rPr>
                <w:rFonts w:ascii="宋体" w:hAnsi="宋体" w:hint="eastAsia"/>
                <w:sz w:val="24"/>
              </w:rPr>
              <w:t>答：今年盐行业产品价格下行，行业面临一定盈利压力，但公司采取产品结构优化、降本增效等措施，保持经营稳定，具体财务数据以公司定期报告披露为准。</w:t>
            </w:r>
          </w:p>
        </w:tc>
      </w:tr>
      <w:tr w:rsidR="00037DC7">
        <w:trPr>
          <w:jc w:val="center"/>
        </w:trPr>
        <w:tc>
          <w:tcPr>
            <w:tcW w:w="2226" w:type="dxa"/>
            <w:tcBorders>
              <w:top w:val="single" w:sz="4" w:space="0" w:color="auto"/>
              <w:left w:val="single" w:sz="4" w:space="0" w:color="auto"/>
              <w:bottom w:val="single" w:sz="4" w:space="0" w:color="auto"/>
              <w:right w:val="single" w:sz="4" w:space="0" w:color="auto"/>
            </w:tcBorders>
            <w:vAlign w:val="center"/>
          </w:tcPr>
          <w:p w:rsidR="00037DC7" w:rsidRDefault="00037DC7">
            <w:pPr>
              <w:snapToGrid w:val="0"/>
              <w:spacing w:line="500" w:lineRule="exact"/>
              <w:jc w:val="center"/>
              <w:rPr>
                <w:b/>
                <w:bCs/>
                <w:iCs/>
                <w:color w:val="000000"/>
                <w:sz w:val="24"/>
              </w:rPr>
            </w:pPr>
            <w:r>
              <w:rPr>
                <w:b/>
                <w:bCs/>
                <w:iCs/>
                <w:color w:val="000000"/>
                <w:sz w:val="24"/>
              </w:rPr>
              <w:lastRenderedPageBreak/>
              <w:t>关于本次活动是否涉及应披露重大信息的说明</w:t>
            </w:r>
          </w:p>
        </w:tc>
        <w:tc>
          <w:tcPr>
            <w:tcW w:w="6614" w:type="dxa"/>
            <w:tcBorders>
              <w:top w:val="single" w:sz="4" w:space="0" w:color="auto"/>
              <w:left w:val="single" w:sz="4" w:space="0" w:color="auto"/>
              <w:bottom w:val="single" w:sz="4" w:space="0" w:color="auto"/>
              <w:right w:val="single" w:sz="4" w:space="0" w:color="auto"/>
            </w:tcBorders>
          </w:tcPr>
          <w:p w:rsidR="00037DC7" w:rsidRDefault="00037DC7">
            <w:pPr>
              <w:spacing w:line="480" w:lineRule="atLeast"/>
              <w:rPr>
                <w:rFonts w:ascii="宋体"/>
                <w:bCs/>
                <w:iCs/>
                <w:sz w:val="24"/>
                <w:szCs w:val="24"/>
              </w:rPr>
            </w:pPr>
            <w:r>
              <w:rPr>
                <w:kern w:val="0"/>
                <w:sz w:val="24"/>
              </w:rPr>
              <w:t>无</w:t>
            </w:r>
          </w:p>
        </w:tc>
      </w:tr>
      <w:tr w:rsidR="00037DC7">
        <w:trPr>
          <w:jc w:val="center"/>
        </w:trPr>
        <w:tc>
          <w:tcPr>
            <w:tcW w:w="2226" w:type="dxa"/>
            <w:tcBorders>
              <w:top w:val="single" w:sz="4" w:space="0" w:color="auto"/>
              <w:left w:val="single" w:sz="4" w:space="0" w:color="auto"/>
              <w:bottom w:val="single" w:sz="4" w:space="0" w:color="auto"/>
              <w:right w:val="single" w:sz="4" w:space="0" w:color="auto"/>
            </w:tcBorders>
            <w:vAlign w:val="center"/>
          </w:tcPr>
          <w:p w:rsidR="00037DC7" w:rsidRDefault="00037DC7">
            <w:pPr>
              <w:snapToGrid w:val="0"/>
              <w:spacing w:line="500" w:lineRule="exact"/>
              <w:jc w:val="center"/>
              <w:rPr>
                <w:b/>
                <w:bCs/>
                <w:iCs/>
                <w:color w:val="000000"/>
                <w:sz w:val="24"/>
              </w:rPr>
            </w:pPr>
            <w:r>
              <w:rPr>
                <w:b/>
                <w:bCs/>
                <w:iCs/>
                <w:color w:val="000000"/>
                <w:sz w:val="24"/>
              </w:rPr>
              <w:t>附件清单</w:t>
            </w:r>
          </w:p>
        </w:tc>
        <w:tc>
          <w:tcPr>
            <w:tcW w:w="6614" w:type="dxa"/>
            <w:tcBorders>
              <w:top w:val="single" w:sz="4" w:space="0" w:color="auto"/>
              <w:left w:val="single" w:sz="4" w:space="0" w:color="auto"/>
              <w:bottom w:val="single" w:sz="4" w:space="0" w:color="auto"/>
              <w:right w:val="single" w:sz="4" w:space="0" w:color="auto"/>
            </w:tcBorders>
          </w:tcPr>
          <w:p w:rsidR="00037DC7" w:rsidRDefault="00037DC7">
            <w:pPr>
              <w:spacing w:line="480" w:lineRule="atLeast"/>
              <w:rPr>
                <w:rFonts w:ascii="宋体"/>
                <w:bCs/>
                <w:iCs/>
                <w:sz w:val="24"/>
                <w:szCs w:val="24"/>
              </w:rPr>
            </w:pPr>
            <w:r>
              <w:rPr>
                <w:kern w:val="0"/>
                <w:sz w:val="24"/>
              </w:rPr>
              <w:t>无</w:t>
            </w:r>
          </w:p>
        </w:tc>
      </w:tr>
    </w:tbl>
    <w:p w:rsidR="00037DC7" w:rsidRDefault="00037DC7"/>
    <w:sectPr w:rsidR="00037DC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77F" w:rsidRDefault="007E277F" w:rsidP="00F9514E">
      <w:r>
        <w:separator/>
      </w:r>
    </w:p>
  </w:endnote>
  <w:endnote w:type="continuationSeparator" w:id="0">
    <w:p w:rsidR="007E277F" w:rsidRDefault="007E277F" w:rsidP="00F9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altName w:val="FTToken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77F" w:rsidRDefault="007E277F" w:rsidP="00F9514E">
      <w:r>
        <w:separator/>
      </w:r>
    </w:p>
  </w:footnote>
  <w:footnote w:type="continuationSeparator" w:id="0">
    <w:p w:rsidR="007E277F" w:rsidRDefault="007E277F" w:rsidP="00F95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2D"/>
    <w:rsid w:val="000058E5"/>
    <w:rsid w:val="00037DC7"/>
    <w:rsid w:val="0005467A"/>
    <w:rsid w:val="0005658B"/>
    <w:rsid w:val="000676DD"/>
    <w:rsid w:val="000716E8"/>
    <w:rsid w:val="000767A1"/>
    <w:rsid w:val="00080630"/>
    <w:rsid w:val="000967EA"/>
    <w:rsid w:val="000A7F2D"/>
    <w:rsid w:val="000B1897"/>
    <w:rsid w:val="000B1D5F"/>
    <w:rsid w:val="000C74AA"/>
    <w:rsid w:val="000D0E76"/>
    <w:rsid w:val="000E0848"/>
    <w:rsid w:val="000E34A7"/>
    <w:rsid w:val="000E487B"/>
    <w:rsid w:val="00102759"/>
    <w:rsid w:val="001107BE"/>
    <w:rsid w:val="001430E0"/>
    <w:rsid w:val="00146A4E"/>
    <w:rsid w:val="00147CEF"/>
    <w:rsid w:val="00152260"/>
    <w:rsid w:val="00157677"/>
    <w:rsid w:val="00187E81"/>
    <w:rsid w:val="001C5DAF"/>
    <w:rsid w:val="001F0450"/>
    <w:rsid w:val="001F443B"/>
    <w:rsid w:val="00201660"/>
    <w:rsid w:val="00207F14"/>
    <w:rsid w:val="00231E02"/>
    <w:rsid w:val="002500D6"/>
    <w:rsid w:val="002656D8"/>
    <w:rsid w:val="002661CE"/>
    <w:rsid w:val="002820B7"/>
    <w:rsid w:val="00284494"/>
    <w:rsid w:val="0029029F"/>
    <w:rsid w:val="00290F93"/>
    <w:rsid w:val="00291B04"/>
    <w:rsid w:val="002923CB"/>
    <w:rsid w:val="002976C1"/>
    <w:rsid w:val="002A090C"/>
    <w:rsid w:val="002A5D33"/>
    <w:rsid w:val="002B73FE"/>
    <w:rsid w:val="00315602"/>
    <w:rsid w:val="003236F0"/>
    <w:rsid w:val="00327C77"/>
    <w:rsid w:val="00376090"/>
    <w:rsid w:val="003776F6"/>
    <w:rsid w:val="00396E3B"/>
    <w:rsid w:val="003A21FA"/>
    <w:rsid w:val="003A513E"/>
    <w:rsid w:val="003B33E0"/>
    <w:rsid w:val="003F1C58"/>
    <w:rsid w:val="00417967"/>
    <w:rsid w:val="00426A94"/>
    <w:rsid w:val="00435109"/>
    <w:rsid w:val="00440F59"/>
    <w:rsid w:val="00474768"/>
    <w:rsid w:val="00475835"/>
    <w:rsid w:val="00480406"/>
    <w:rsid w:val="004A412D"/>
    <w:rsid w:val="004A7E64"/>
    <w:rsid w:val="004B1119"/>
    <w:rsid w:val="004B35F9"/>
    <w:rsid w:val="004B4056"/>
    <w:rsid w:val="004B4C02"/>
    <w:rsid w:val="004C19E7"/>
    <w:rsid w:val="00502522"/>
    <w:rsid w:val="00503EB8"/>
    <w:rsid w:val="005177F7"/>
    <w:rsid w:val="00520080"/>
    <w:rsid w:val="00533C80"/>
    <w:rsid w:val="00572A84"/>
    <w:rsid w:val="00583DAC"/>
    <w:rsid w:val="005C3CEE"/>
    <w:rsid w:val="005C7CEB"/>
    <w:rsid w:val="005D36D7"/>
    <w:rsid w:val="005D3BB0"/>
    <w:rsid w:val="0060365C"/>
    <w:rsid w:val="00607CCD"/>
    <w:rsid w:val="00612181"/>
    <w:rsid w:val="006161F1"/>
    <w:rsid w:val="006219C1"/>
    <w:rsid w:val="00637B72"/>
    <w:rsid w:val="00647815"/>
    <w:rsid w:val="0065235C"/>
    <w:rsid w:val="006601A1"/>
    <w:rsid w:val="006609F8"/>
    <w:rsid w:val="00680778"/>
    <w:rsid w:val="00686405"/>
    <w:rsid w:val="006B28E1"/>
    <w:rsid w:val="006C0D51"/>
    <w:rsid w:val="006C6623"/>
    <w:rsid w:val="006D5E03"/>
    <w:rsid w:val="006E2E69"/>
    <w:rsid w:val="007042AD"/>
    <w:rsid w:val="00743EA2"/>
    <w:rsid w:val="007449AF"/>
    <w:rsid w:val="00752A98"/>
    <w:rsid w:val="00755E1B"/>
    <w:rsid w:val="007662A4"/>
    <w:rsid w:val="007752B7"/>
    <w:rsid w:val="0077658D"/>
    <w:rsid w:val="00787E5E"/>
    <w:rsid w:val="00790CC7"/>
    <w:rsid w:val="007A024C"/>
    <w:rsid w:val="007A2DA3"/>
    <w:rsid w:val="007A5C81"/>
    <w:rsid w:val="007B0973"/>
    <w:rsid w:val="007D20BB"/>
    <w:rsid w:val="007D4AFD"/>
    <w:rsid w:val="007D50C8"/>
    <w:rsid w:val="007E277F"/>
    <w:rsid w:val="007F109D"/>
    <w:rsid w:val="007F18E9"/>
    <w:rsid w:val="007F4B58"/>
    <w:rsid w:val="00822E92"/>
    <w:rsid w:val="00832E50"/>
    <w:rsid w:val="008455EC"/>
    <w:rsid w:val="00875C31"/>
    <w:rsid w:val="00876007"/>
    <w:rsid w:val="00876DAC"/>
    <w:rsid w:val="00890F3F"/>
    <w:rsid w:val="00892F92"/>
    <w:rsid w:val="00896653"/>
    <w:rsid w:val="008A12B0"/>
    <w:rsid w:val="008C2018"/>
    <w:rsid w:val="008D2494"/>
    <w:rsid w:val="008D2D74"/>
    <w:rsid w:val="0092218A"/>
    <w:rsid w:val="00942A72"/>
    <w:rsid w:val="00953C4A"/>
    <w:rsid w:val="00961579"/>
    <w:rsid w:val="009622A1"/>
    <w:rsid w:val="00963D9A"/>
    <w:rsid w:val="009665F9"/>
    <w:rsid w:val="00982579"/>
    <w:rsid w:val="00995E8B"/>
    <w:rsid w:val="009A210A"/>
    <w:rsid w:val="009A3BC9"/>
    <w:rsid w:val="009B14DD"/>
    <w:rsid w:val="009B42B5"/>
    <w:rsid w:val="009B6808"/>
    <w:rsid w:val="009C54DB"/>
    <w:rsid w:val="009E2081"/>
    <w:rsid w:val="009E3808"/>
    <w:rsid w:val="009E6A2F"/>
    <w:rsid w:val="00A168D1"/>
    <w:rsid w:val="00A21B8D"/>
    <w:rsid w:val="00A304DC"/>
    <w:rsid w:val="00A403B2"/>
    <w:rsid w:val="00A5717F"/>
    <w:rsid w:val="00A63CDE"/>
    <w:rsid w:val="00A8022F"/>
    <w:rsid w:val="00A8296F"/>
    <w:rsid w:val="00AA14FF"/>
    <w:rsid w:val="00AA7CA7"/>
    <w:rsid w:val="00AB4029"/>
    <w:rsid w:val="00AB5088"/>
    <w:rsid w:val="00AB7FE2"/>
    <w:rsid w:val="00AC4ADC"/>
    <w:rsid w:val="00B11D13"/>
    <w:rsid w:val="00B1467E"/>
    <w:rsid w:val="00B214EA"/>
    <w:rsid w:val="00B2733F"/>
    <w:rsid w:val="00B41B9F"/>
    <w:rsid w:val="00B45D7C"/>
    <w:rsid w:val="00B56ACA"/>
    <w:rsid w:val="00B72A01"/>
    <w:rsid w:val="00B7370A"/>
    <w:rsid w:val="00B77019"/>
    <w:rsid w:val="00B90F0D"/>
    <w:rsid w:val="00B95D64"/>
    <w:rsid w:val="00BB6EE4"/>
    <w:rsid w:val="00BC67FD"/>
    <w:rsid w:val="00BD4C20"/>
    <w:rsid w:val="00BD6FC6"/>
    <w:rsid w:val="00BE198D"/>
    <w:rsid w:val="00C029E3"/>
    <w:rsid w:val="00C04119"/>
    <w:rsid w:val="00C31BE4"/>
    <w:rsid w:val="00C46A27"/>
    <w:rsid w:val="00C73B3B"/>
    <w:rsid w:val="00C8009F"/>
    <w:rsid w:val="00C82D5D"/>
    <w:rsid w:val="00C84513"/>
    <w:rsid w:val="00C93C58"/>
    <w:rsid w:val="00CA7ECE"/>
    <w:rsid w:val="00CB3711"/>
    <w:rsid w:val="00CB6D4F"/>
    <w:rsid w:val="00CE4310"/>
    <w:rsid w:val="00D1255B"/>
    <w:rsid w:val="00D12C87"/>
    <w:rsid w:val="00D1464A"/>
    <w:rsid w:val="00D15067"/>
    <w:rsid w:val="00D167D8"/>
    <w:rsid w:val="00D20AF1"/>
    <w:rsid w:val="00D210FC"/>
    <w:rsid w:val="00D304B9"/>
    <w:rsid w:val="00D34949"/>
    <w:rsid w:val="00D3793C"/>
    <w:rsid w:val="00D40DD3"/>
    <w:rsid w:val="00D41E73"/>
    <w:rsid w:val="00D43E02"/>
    <w:rsid w:val="00D702BF"/>
    <w:rsid w:val="00D707C6"/>
    <w:rsid w:val="00D7180F"/>
    <w:rsid w:val="00D74FD3"/>
    <w:rsid w:val="00D8262B"/>
    <w:rsid w:val="00D97C37"/>
    <w:rsid w:val="00DB67B1"/>
    <w:rsid w:val="00DC6974"/>
    <w:rsid w:val="00DD38A0"/>
    <w:rsid w:val="00DE4323"/>
    <w:rsid w:val="00DE6610"/>
    <w:rsid w:val="00DF5296"/>
    <w:rsid w:val="00E124E6"/>
    <w:rsid w:val="00E35170"/>
    <w:rsid w:val="00E35AAF"/>
    <w:rsid w:val="00E531CD"/>
    <w:rsid w:val="00E533EB"/>
    <w:rsid w:val="00E62DCE"/>
    <w:rsid w:val="00E72D65"/>
    <w:rsid w:val="00E827CC"/>
    <w:rsid w:val="00E8693A"/>
    <w:rsid w:val="00E9576E"/>
    <w:rsid w:val="00ED7D56"/>
    <w:rsid w:val="00EE49B9"/>
    <w:rsid w:val="00F00459"/>
    <w:rsid w:val="00F11ABF"/>
    <w:rsid w:val="00F2402E"/>
    <w:rsid w:val="00F3159D"/>
    <w:rsid w:val="00F423D0"/>
    <w:rsid w:val="00F45AAB"/>
    <w:rsid w:val="00F53F6C"/>
    <w:rsid w:val="00F9514E"/>
    <w:rsid w:val="00FB3BB5"/>
    <w:rsid w:val="00FB3C4C"/>
    <w:rsid w:val="00FC49A6"/>
    <w:rsid w:val="00FD18D3"/>
    <w:rsid w:val="00FF4F64"/>
    <w:rsid w:val="37B04CA0"/>
    <w:rsid w:val="49583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F29F7AC-E080-402E-B5C3-278153D0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Char"/>
    <w:pPr>
      <w:tabs>
        <w:tab w:val="center" w:pos="4153"/>
        <w:tab w:val="right" w:pos="8306"/>
      </w:tabs>
      <w:snapToGrid w:val="0"/>
      <w:jc w:val="left"/>
    </w:pPr>
    <w:rPr>
      <w:sz w:val="18"/>
      <w:szCs w:val="18"/>
    </w:rPr>
  </w:style>
  <w:style w:type="character" w:customStyle="1" w:styleId="Char">
    <w:name w:val="页脚 Char"/>
    <w:link w:val="a4"/>
    <w:rPr>
      <w:kern w:val="2"/>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277</Words>
  <Characters>1581</Characters>
  <Application>Microsoft Office Word</Application>
  <DocSecurity>0</DocSecurity>
  <PresentationFormat/>
  <Lines>13</Lines>
  <Paragraphs>3</Paragraphs>
  <Slides>0</Slides>
  <Notes>0</Notes>
  <HiddenSlides>0</HiddenSlides>
  <MMClips>0</MMClips>
  <ScaleCrop>false</ScaleCrop>
  <Manager/>
  <Company>Lenovo (Beijing) Limited</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Microsoft 帐户</cp:lastModifiedBy>
  <cp:revision>9</cp:revision>
  <cp:lastPrinted>2026-01-19T03:52:00Z</cp:lastPrinted>
  <dcterms:created xsi:type="dcterms:W3CDTF">2026-01-16T09:03:00Z</dcterms:created>
  <dcterms:modified xsi:type="dcterms:W3CDTF">2026-01-19T05:57:00Z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eyJoZGlkIjoiNjZjNTc1YTBhZTU1OGQ3NWViNDJhNTI0ZTg0NmYwNjMiLCJ1c2VySWQiOiIyMzc2OTM1OTUifQ==</vt:lpwstr>
  </property>
  <property fmtid="{D5CDD505-2E9C-101B-9397-08002B2CF9AE}" pid="4" name="ICV">
    <vt:lpwstr>A736449FF5614F41A2704AB9782CB37F_13</vt:lpwstr>
  </property>
</Properties>
</file>