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C6DF">
      <w:pPr>
        <w:spacing w:before="156" w:beforeLines="50" w:after="156" w:afterLines="50"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601717                             </w:t>
      </w:r>
      <w:r>
        <w:rPr>
          <w:rFonts w:hAnsi="宋体"/>
          <w:bCs/>
          <w:iCs/>
          <w:color w:val="000000"/>
          <w:sz w:val="24"/>
        </w:rPr>
        <w:t>证券简称：</w:t>
      </w:r>
      <w:r>
        <w:rPr>
          <w:rFonts w:hint="eastAsia"/>
          <w:color w:val="000000"/>
          <w:sz w:val="24"/>
        </w:rPr>
        <w:t>中创智领</w:t>
      </w:r>
    </w:p>
    <w:p w14:paraId="0D24D875">
      <w:pPr>
        <w:spacing w:before="156" w:beforeLines="50" w:after="156" w:afterLines="50" w:line="400" w:lineRule="exact"/>
        <w:jc w:val="center"/>
        <w:rPr>
          <w:rFonts w:hint="eastAsia" w:ascii="黑体" w:hAnsi="黑体" w:eastAsia="黑体"/>
          <w:iCs/>
          <w:color w:val="000000"/>
          <w:sz w:val="32"/>
          <w:szCs w:val="32"/>
        </w:rPr>
      </w:pPr>
      <w:r>
        <w:rPr>
          <w:rFonts w:hint="eastAsia" w:ascii="黑体" w:hAnsi="黑体" w:eastAsia="黑体"/>
          <w:iCs/>
          <w:color w:val="000000"/>
          <w:sz w:val="32"/>
          <w:szCs w:val="32"/>
        </w:rPr>
        <w:t>中创智领（郑州）工业技术集团股份有限公司</w:t>
      </w:r>
    </w:p>
    <w:p w14:paraId="0C784C7B">
      <w:pPr>
        <w:spacing w:before="156" w:beforeLines="50" w:after="156" w:afterLines="50" w:line="400" w:lineRule="exact"/>
        <w:jc w:val="center"/>
        <w:rPr>
          <w:rFonts w:hint="eastAsia" w:ascii="黑体" w:hAnsi="黑体" w:eastAsia="黑体"/>
          <w:iCs/>
          <w:color w:val="000000"/>
          <w:sz w:val="32"/>
          <w:szCs w:val="32"/>
        </w:rPr>
      </w:pPr>
      <w:r>
        <w:rPr>
          <w:rFonts w:hint="eastAsia" w:ascii="黑体" w:hAnsi="黑体" w:eastAsia="黑体"/>
          <w:iCs/>
          <w:color w:val="000000"/>
          <w:sz w:val="32"/>
          <w:szCs w:val="32"/>
        </w:rPr>
        <w:t>投资者关系活动记录表</w:t>
      </w:r>
    </w:p>
    <w:p w14:paraId="7E1ABAB6"/>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087"/>
      </w:tblGrid>
      <w:tr w14:paraId="0D20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668" w:type="dxa"/>
            <w:tcBorders>
              <w:top w:val="single" w:color="auto" w:sz="4" w:space="0"/>
              <w:left w:val="single" w:color="auto" w:sz="4" w:space="0"/>
              <w:bottom w:val="single" w:color="auto" w:sz="4" w:space="0"/>
              <w:right w:val="single" w:color="auto" w:sz="4" w:space="0"/>
            </w:tcBorders>
            <w:vAlign w:val="center"/>
          </w:tcPr>
          <w:p w14:paraId="74281918">
            <w:pPr>
              <w:jc w:val="center"/>
              <w:rPr>
                <w:rFonts w:hint="eastAsia" w:ascii="宋体" w:hAnsi="宋体"/>
                <w:bCs/>
                <w:iCs/>
                <w:color w:val="000000"/>
                <w:szCs w:val="21"/>
              </w:rPr>
            </w:pPr>
            <w:r>
              <w:rPr>
                <w:rFonts w:ascii="宋体" w:hAnsi="宋体"/>
                <w:bCs/>
                <w:iCs/>
                <w:color w:val="000000"/>
                <w:kern w:val="0"/>
                <w:szCs w:val="21"/>
              </w:rPr>
              <w:t>投资者关系</w:t>
            </w:r>
            <w:r>
              <w:rPr>
                <w:rFonts w:ascii="宋体" w:hAnsi="宋体"/>
                <w:bCs/>
                <w:iCs/>
                <w:color w:val="000000"/>
                <w:kern w:val="0"/>
                <w:szCs w:val="21"/>
              </w:rPr>
              <w:br w:type="textWrapping"/>
            </w:r>
            <w:r>
              <w:rPr>
                <w:rFonts w:ascii="宋体" w:hAnsi="宋体"/>
                <w:bCs/>
                <w:iCs/>
                <w:color w:val="000000"/>
                <w:kern w:val="0"/>
                <w:szCs w:val="21"/>
              </w:rPr>
              <w:t>活动类别</w:t>
            </w:r>
          </w:p>
        </w:tc>
        <w:tc>
          <w:tcPr>
            <w:tcW w:w="7087" w:type="dxa"/>
            <w:tcBorders>
              <w:top w:val="single" w:color="auto" w:sz="4" w:space="0"/>
              <w:left w:val="single" w:color="auto" w:sz="4" w:space="0"/>
              <w:bottom w:val="single" w:color="auto" w:sz="4" w:space="0"/>
              <w:right w:val="single" w:color="auto" w:sz="4" w:space="0"/>
            </w:tcBorders>
          </w:tcPr>
          <w:p w14:paraId="41579113">
            <w:pPr>
              <w:rPr>
                <w:rFonts w:hint="eastAsia" w:ascii="宋体" w:hAnsi="宋体"/>
                <w:bCs/>
                <w:iCs/>
                <w:color w:val="00000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 xml:space="preserve">特定对象调研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分析师会议</w:t>
            </w:r>
          </w:p>
          <w:p w14:paraId="57655A58">
            <w:pPr>
              <w:rPr>
                <w:rFonts w:hint="eastAsia" w:ascii="宋体" w:hAnsi="宋体"/>
                <w:bCs/>
                <w:iCs/>
                <w:color w:val="000000"/>
                <w:kern w:val="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 xml:space="preserve">媒体采访            </w:t>
            </w: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业绩说明会</w:t>
            </w:r>
          </w:p>
          <w:p w14:paraId="6647D701">
            <w:pPr>
              <w:rPr>
                <w:rFonts w:hint="eastAsia" w:ascii="宋体" w:hAnsi="宋体"/>
                <w:bCs/>
                <w:iCs/>
                <w:color w:val="000000"/>
                <w:kern w:val="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 xml:space="preserve">新闻发布会          </w:t>
            </w: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路演活动</w:t>
            </w:r>
          </w:p>
          <w:p w14:paraId="6D1036EC">
            <w:pPr>
              <w:tabs>
                <w:tab w:val="left" w:pos="3045"/>
                <w:tab w:val="center" w:pos="3199"/>
              </w:tabs>
              <w:rPr>
                <w:rFonts w:hint="eastAsia" w:ascii="宋体" w:hAnsi="宋体"/>
                <w:bCs/>
                <w:iCs/>
                <w:color w:val="000000"/>
                <w:kern w:val="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现场参观</w:t>
            </w:r>
          </w:p>
          <w:p w14:paraId="2217FBB7">
            <w:pPr>
              <w:tabs>
                <w:tab w:val="center" w:pos="3199"/>
              </w:tabs>
              <w:rPr>
                <w:rFonts w:hint="eastAsia" w:ascii="宋体" w:hAnsi="宋体"/>
                <w:bCs/>
                <w:iCs/>
                <w:color w:val="000000"/>
                <w:szCs w:val="21"/>
              </w:rPr>
            </w:pPr>
            <w:r>
              <w:rPr>
                <w:rFonts w:ascii="宋体" w:hAnsi="宋体"/>
                <w:bCs/>
                <w:iCs/>
                <w:color w:val="000000"/>
                <w:kern w:val="0"/>
                <w:szCs w:val="21"/>
              </w:rPr>
              <w:t>□</w:t>
            </w:r>
            <w:r>
              <w:rPr>
                <w:rFonts w:hint="eastAsia" w:ascii="宋体" w:hAnsi="宋体"/>
                <w:bCs/>
                <w:iCs/>
                <w:color w:val="000000"/>
                <w:kern w:val="0"/>
                <w:szCs w:val="21"/>
              </w:rPr>
              <w:t xml:space="preserve"> </w:t>
            </w:r>
            <w:r>
              <w:rPr>
                <w:rFonts w:ascii="宋体" w:hAnsi="宋体"/>
                <w:kern w:val="0"/>
                <w:szCs w:val="21"/>
              </w:rPr>
              <w:t>其他</w:t>
            </w:r>
          </w:p>
        </w:tc>
      </w:tr>
      <w:tr w14:paraId="7E64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668" w:type="dxa"/>
            <w:tcBorders>
              <w:top w:val="single" w:color="auto" w:sz="4" w:space="0"/>
              <w:left w:val="single" w:color="auto" w:sz="4" w:space="0"/>
              <w:bottom w:val="single" w:color="auto" w:sz="4" w:space="0"/>
              <w:right w:val="single" w:color="auto" w:sz="4" w:space="0"/>
            </w:tcBorders>
            <w:vAlign w:val="center"/>
          </w:tcPr>
          <w:p w14:paraId="2CE64EA4">
            <w:pPr>
              <w:jc w:val="center"/>
              <w:rPr>
                <w:bCs/>
                <w:iCs/>
                <w:color w:val="000000"/>
                <w:kern w:val="0"/>
                <w:szCs w:val="21"/>
              </w:rPr>
            </w:pPr>
            <w:r>
              <w:rPr>
                <w:rFonts w:hAnsi="宋体"/>
                <w:bCs/>
                <w:iCs/>
                <w:color w:val="000000"/>
                <w:kern w:val="0"/>
                <w:szCs w:val="21"/>
              </w:rPr>
              <w:t>参与单位名称</w:t>
            </w:r>
          </w:p>
        </w:tc>
        <w:tc>
          <w:tcPr>
            <w:tcW w:w="7087" w:type="dxa"/>
            <w:tcBorders>
              <w:top w:val="single" w:color="auto" w:sz="4" w:space="0"/>
              <w:left w:val="single" w:color="auto" w:sz="4" w:space="0"/>
              <w:bottom w:val="single" w:color="auto" w:sz="4" w:space="0"/>
              <w:right w:val="single" w:color="auto" w:sz="4" w:space="0"/>
            </w:tcBorders>
            <w:vAlign w:val="center"/>
          </w:tcPr>
          <w:p w14:paraId="1BCDD712">
            <w:pPr>
              <w:rPr>
                <w:bCs/>
                <w:iCs/>
                <w:color w:val="000000"/>
                <w:szCs w:val="21"/>
              </w:rPr>
            </w:pPr>
            <w:r>
              <w:rPr>
                <w:rFonts w:hint="eastAsia"/>
                <w:bCs/>
                <w:iCs/>
                <w:color w:val="000000"/>
                <w:szCs w:val="21"/>
              </w:rPr>
              <w:t>广发证券、东方证券、邦德资管（香港）、中邮保险资管、华能贵诚信托、首创证券、高腾国际、星泰投资、中银基金、东方证券资管、富国基金、上海合道资管、中再资管(香港)、光大保德信基金、永赢基金、上银基金、世纪前沿私募基金、亚太财产保险、天治基金、财通资管、阳光资管、交银施罗德基金、建信基金、中国人寿资管、顶石资产、新华基金、博时基金、恒越基金、汇安基金、中加基金、广东德汇投资、永安国富资管、招商信诺资管、上海途灵资管、国泰基金、德邦基金、泰康养老保险、财信基金、大成基金、山楂树甄琢资产、太平洋资管、华泰柏瑞基金、上海昊青资管、中银国际证券、方正证券、青榕资管、上海睿眼投资、北京煜诚私募基金、上海高毅资管、深圳猎投资本、</w:t>
            </w:r>
            <w:r>
              <w:rPr>
                <w:bCs/>
                <w:iCs/>
                <w:color w:val="000000"/>
                <w:szCs w:val="21"/>
              </w:rPr>
              <w:t>Cooper Investors</w:t>
            </w:r>
            <w:r>
              <w:rPr>
                <w:rFonts w:hint="eastAsia"/>
                <w:bCs/>
                <w:iCs/>
                <w:color w:val="000000"/>
                <w:szCs w:val="21"/>
              </w:rPr>
              <w:t>、IDG资本、</w:t>
            </w:r>
            <w:r>
              <w:rPr>
                <w:bCs/>
                <w:iCs/>
                <w:color w:val="000000"/>
                <w:szCs w:val="21"/>
              </w:rPr>
              <w:t>PINPOINT ASSET MANAGEMENT LIMITED</w:t>
            </w:r>
            <w:r>
              <w:rPr>
                <w:rFonts w:hint="eastAsia"/>
                <w:bCs/>
                <w:iCs/>
                <w:color w:val="000000"/>
                <w:szCs w:val="21"/>
              </w:rPr>
              <w:t>、</w:t>
            </w:r>
            <w:r>
              <w:rPr>
                <w:bCs/>
                <w:iCs/>
                <w:color w:val="000000"/>
                <w:szCs w:val="21"/>
              </w:rPr>
              <w:t>WT Asset Management Limited</w:t>
            </w:r>
          </w:p>
          <w:p w14:paraId="1A63B6AF">
            <w:pPr>
              <w:rPr>
                <w:bCs/>
                <w:iCs/>
                <w:color w:val="000000"/>
                <w:szCs w:val="21"/>
              </w:rPr>
            </w:pPr>
            <w:r>
              <w:rPr>
                <w:rFonts w:hint="eastAsia"/>
                <w:bCs/>
                <w:iCs/>
                <w:color w:val="000000"/>
                <w:szCs w:val="21"/>
              </w:rPr>
              <w:t>（排名不分先后）</w:t>
            </w:r>
          </w:p>
        </w:tc>
      </w:tr>
      <w:tr w14:paraId="137A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tcBorders>
              <w:top w:val="single" w:color="auto" w:sz="4" w:space="0"/>
              <w:left w:val="single" w:color="auto" w:sz="4" w:space="0"/>
              <w:bottom w:val="single" w:color="auto" w:sz="4" w:space="0"/>
              <w:right w:val="single" w:color="auto" w:sz="4" w:space="0"/>
            </w:tcBorders>
            <w:vAlign w:val="center"/>
          </w:tcPr>
          <w:p w14:paraId="5E81A979">
            <w:pPr>
              <w:jc w:val="center"/>
              <w:rPr>
                <w:bCs/>
                <w:iCs/>
                <w:color w:val="000000"/>
                <w:kern w:val="0"/>
                <w:szCs w:val="21"/>
              </w:rPr>
            </w:pPr>
            <w:r>
              <w:rPr>
                <w:rFonts w:hAnsi="宋体"/>
                <w:bCs/>
                <w:iCs/>
                <w:color w:val="000000"/>
                <w:kern w:val="0"/>
                <w:szCs w:val="21"/>
              </w:rPr>
              <w:t>时间</w:t>
            </w:r>
          </w:p>
        </w:tc>
        <w:tc>
          <w:tcPr>
            <w:tcW w:w="7087" w:type="dxa"/>
            <w:tcBorders>
              <w:top w:val="single" w:color="auto" w:sz="4" w:space="0"/>
              <w:left w:val="single" w:color="auto" w:sz="4" w:space="0"/>
              <w:bottom w:val="single" w:color="auto" w:sz="4" w:space="0"/>
              <w:right w:val="single" w:color="auto" w:sz="4" w:space="0"/>
            </w:tcBorders>
            <w:vAlign w:val="center"/>
          </w:tcPr>
          <w:p w14:paraId="2F4F624C">
            <w:pPr>
              <w:rPr>
                <w:bCs/>
                <w:iCs/>
                <w:color w:val="000000"/>
                <w:szCs w:val="21"/>
              </w:rPr>
            </w:pPr>
            <w:r>
              <w:rPr>
                <w:bCs/>
                <w:iCs/>
                <w:color w:val="000000"/>
                <w:szCs w:val="21"/>
              </w:rPr>
              <w:t>202</w:t>
            </w:r>
            <w:r>
              <w:rPr>
                <w:rFonts w:hint="eastAsia"/>
                <w:bCs/>
                <w:iCs/>
                <w:color w:val="000000"/>
                <w:szCs w:val="21"/>
              </w:rPr>
              <w:t>6</w:t>
            </w:r>
            <w:r>
              <w:rPr>
                <w:bCs/>
                <w:iCs/>
                <w:color w:val="000000"/>
                <w:szCs w:val="21"/>
              </w:rPr>
              <w:t>年</w:t>
            </w:r>
            <w:r>
              <w:rPr>
                <w:rFonts w:hint="eastAsia"/>
                <w:bCs/>
                <w:iCs/>
                <w:color w:val="000000"/>
                <w:szCs w:val="21"/>
              </w:rPr>
              <w:t>1</w:t>
            </w:r>
            <w:r>
              <w:rPr>
                <w:bCs/>
                <w:iCs/>
                <w:color w:val="000000"/>
                <w:szCs w:val="21"/>
              </w:rPr>
              <w:t>月</w:t>
            </w:r>
            <w:r>
              <w:rPr>
                <w:rFonts w:hint="eastAsia"/>
                <w:bCs/>
                <w:iCs/>
                <w:color w:val="000000"/>
                <w:szCs w:val="21"/>
              </w:rPr>
              <w:t>16日</w:t>
            </w:r>
          </w:p>
        </w:tc>
      </w:tr>
      <w:tr w14:paraId="5425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tcBorders>
              <w:top w:val="single" w:color="auto" w:sz="4" w:space="0"/>
              <w:left w:val="single" w:color="auto" w:sz="4" w:space="0"/>
              <w:bottom w:val="single" w:color="auto" w:sz="4" w:space="0"/>
              <w:right w:val="single" w:color="auto" w:sz="4" w:space="0"/>
            </w:tcBorders>
            <w:vAlign w:val="center"/>
          </w:tcPr>
          <w:p w14:paraId="67526EDB">
            <w:pPr>
              <w:jc w:val="center"/>
              <w:rPr>
                <w:bCs/>
                <w:iCs/>
                <w:color w:val="000000"/>
                <w:kern w:val="0"/>
                <w:szCs w:val="21"/>
              </w:rPr>
            </w:pPr>
            <w:r>
              <w:rPr>
                <w:rFonts w:hint="eastAsia" w:hAnsi="宋体"/>
                <w:bCs/>
                <w:iCs/>
                <w:color w:val="000000"/>
                <w:kern w:val="0"/>
                <w:szCs w:val="21"/>
              </w:rPr>
              <w:t>地点/方式</w:t>
            </w:r>
          </w:p>
        </w:tc>
        <w:tc>
          <w:tcPr>
            <w:tcW w:w="7087" w:type="dxa"/>
            <w:tcBorders>
              <w:top w:val="single" w:color="auto" w:sz="4" w:space="0"/>
              <w:left w:val="single" w:color="auto" w:sz="4" w:space="0"/>
              <w:bottom w:val="single" w:color="auto" w:sz="4" w:space="0"/>
              <w:right w:val="single" w:color="auto" w:sz="4" w:space="0"/>
            </w:tcBorders>
            <w:vAlign w:val="center"/>
          </w:tcPr>
          <w:p w14:paraId="6073C3A3">
            <w:pPr>
              <w:rPr>
                <w:bCs/>
                <w:iCs/>
                <w:color w:val="000000"/>
                <w:szCs w:val="21"/>
                <w:lang w:val="en-GB"/>
              </w:rPr>
            </w:pPr>
            <w:r>
              <w:rPr>
                <w:rFonts w:hint="eastAsia"/>
                <w:bCs/>
                <w:iCs/>
                <w:color w:val="000000"/>
                <w:szCs w:val="21"/>
                <w:lang w:val="en-GB"/>
              </w:rPr>
              <w:t>河南自贸试验区郑州片区（经开）第九大街167号公司总部，现场交流、线上电话会议</w:t>
            </w:r>
          </w:p>
        </w:tc>
      </w:tr>
      <w:tr w14:paraId="6A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68" w:type="dxa"/>
            <w:tcBorders>
              <w:top w:val="single" w:color="auto" w:sz="4" w:space="0"/>
              <w:left w:val="single" w:color="auto" w:sz="4" w:space="0"/>
              <w:bottom w:val="single" w:color="auto" w:sz="4" w:space="0"/>
              <w:right w:val="single" w:color="auto" w:sz="4" w:space="0"/>
            </w:tcBorders>
            <w:vAlign w:val="center"/>
          </w:tcPr>
          <w:p w14:paraId="33939BFE">
            <w:pPr>
              <w:jc w:val="center"/>
              <w:rPr>
                <w:bCs/>
                <w:iCs/>
                <w:color w:val="000000"/>
                <w:kern w:val="0"/>
                <w:szCs w:val="21"/>
              </w:rPr>
            </w:pPr>
            <w:r>
              <w:rPr>
                <w:rFonts w:hAnsi="宋体"/>
                <w:bCs/>
                <w:iCs/>
                <w:color w:val="000000"/>
                <w:kern w:val="0"/>
                <w:szCs w:val="21"/>
              </w:rPr>
              <w:t>上市公司接待人员</w:t>
            </w:r>
          </w:p>
        </w:tc>
        <w:tc>
          <w:tcPr>
            <w:tcW w:w="7087" w:type="dxa"/>
            <w:tcBorders>
              <w:top w:val="single" w:color="auto" w:sz="4" w:space="0"/>
              <w:left w:val="single" w:color="auto" w:sz="4" w:space="0"/>
              <w:bottom w:val="single" w:color="auto" w:sz="4" w:space="0"/>
              <w:right w:val="single" w:color="auto" w:sz="4" w:space="0"/>
            </w:tcBorders>
            <w:vAlign w:val="center"/>
          </w:tcPr>
          <w:p w14:paraId="298B949B">
            <w:pPr>
              <w:rPr>
                <w:rFonts w:hint="eastAsia" w:ascii="宋体" w:hAnsi="宋体"/>
                <w:bCs/>
                <w:szCs w:val="21"/>
              </w:rPr>
            </w:pPr>
            <w:r>
              <w:rPr>
                <w:rFonts w:hint="eastAsia" w:ascii="宋体" w:hAnsi="宋体" w:cs="宋体"/>
                <w:szCs w:val="21"/>
              </w:rPr>
              <w:t>公司</w:t>
            </w:r>
            <w:bookmarkStart w:id="0" w:name="_GoBack"/>
            <w:bookmarkEnd w:id="0"/>
            <w:r>
              <w:rPr>
                <w:rFonts w:hint="eastAsia" w:ascii="宋体" w:hAnsi="宋体" w:cs="宋体"/>
                <w:szCs w:val="21"/>
                <w:lang w:val="en-US" w:eastAsia="zh-CN"/>
              </w:rPr>
              <w:t>董事长焦承尧，</w:t>
            </w:r>
            <w:r>
              <w:rPr>
                <w:rFonts w:hint="eastAsia" w:ascii="宋体" w:hAnsi="宋体" w:cs="宋体"/>
                <w:szCs w:val="21"/>
              </w:rPr>
              <w:t>副董事长、总经理贾浩，董事会秘书张易辰</w:t>
            </w:r>
          </w:p>
        </w:tc>
      </w:tr>
      <w:tr w14:paraId="6C7B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668" w:type="dxa"/>
            <w:tcBorders>
              <w:top w:val="single" w:color="auto" w:sz="4" w:space="0"/>
              <w:left w:val="single" w:color="auto" w:sz="4" w:space="0"/>
              <w:bottom w:val="single" w:color="auto" w:sz="4" w:space="0"/>
              <w:right w:val="single" w:color="auto" w:sz="4" w:space="0"/>
            </w:tcBorders>
            <w:vAlign w:val="center"/>
          </w:tcPr>
          <w:p w14:paraId="7A3696C7">
            <w:pPr>
              <w:jc w:val="center"/>
              <w:rPr>
                <w:bCs/>
                <w:iCs/>
                <w:color w:val="000000"/>
                <w:szCs w:val="21"/>
              </w:rPr>
            </w:pPr>
            <w:r>
              <w:rPr>
                <w:rFonts w:hAnsi="宋体"/>
                <w:bCs/>
                <w:iCs/>
                <w:color w:val="000000"/>
                <w:kern w:val="0"/>
                <w:szCs w:val="21"/>
              </w:rPr>
              <w:t>投资者关系活动主要内容介绍</w:t>
            </w:r>
          </w:p>
        </w:tc>
        <w:tc>
          <w:tcPr>
            <w:tcW w:w="7087" w:type="dxa"/>
            <w:tcBorders>
              <w:top w:val="single" w:color="auto" w:sz="4" w:space="0"/>
              <w:left w:val="single" w:color="auto" w:sz="4" w:space="0"/>
              <w:bottom w:val="single" w:color="auto" w:sz="4" w:space="0"/>
              <w:right w:val="single" w:color="auto" w:sz="4" w:space="0"/>
            </w:tcBorders>
            <w:vAlign w:val="center"/>
          </w:tcPr>
          <w:p w14:paraId="51E8ED40">
            <w:pPr>
              <w:spacing w:line="276" w:lineRule="auto"/>
              <w:ind w:firstLine="421"/>
              <w:rPr>
                <w:rFonts w:hint="eastAsia" w:ascii="宋体" w:hAnsi="宋体"/>
                <w:bCs/>
                <w:iCs/>
                <w:color w:val="000000"/>
                <w:szCs w:val="21"/>
              </w:rPr>
            </w:pPr>
            <w:r>
              <w:rPr>
                <w:rFonts w:hint="eastAsia" w:ascii="宋体" w:hAnsi="宋体"/>
                <w:bCs/>
                <w:iCs/>
                <w:color w:val="000000"/>
                <w:szCs w:val="21"/>
              </w:rPr>
              <w:t>1、请领导大致介绍一下发行可转债几个募投项目情况。</w:t>
            </w:r>
          </w:p>
          <w:p w14:paraId="51C72786">
            <w:pPr>
              <w:spacing w:line="276" w:lineRule="auto"/>
              <w:ind w:firstLine="421"/>
              <w:rPr>
                <w:rFonts w:hint="eastAsia" w:ascii="宋体" w:hAnsi="宋体"/>
                <w:bCs/>
                <w:iCs/>
                <w:color w:val="000000"/>
                <w:szCs w:val="21"/>
              </w:rPr>
            </w:pPr>
            <w:r>
              <w:rPr>
                <w:rFonts w:hint="eastAsia" w:ascii="宋体" w:hAnsi="宋体"/>
                <w:bCs/>
                <w:iCs/>
                <w:color w:val="000000"/>
                <w:szCs w:val="21"/>
              </w:rPr>
              <w:t>答：公司本次发行可转债募集资金总额不超过43.50亿元，除了补充流动资金外，将主要投向以下几个项目，它们共同构成了公司转型升级的战略拼图：</w:t>
            </w:r>
          </w:p>
          <w:p w14:paraId="0969BECD">
            <w:pPr>
              <w:spacing w:line="276" w:lineRule="auto"/>
              <w:ind w:firstLine="421"/>
              <w:rPr>
                <w:rFonts w:hint="eastAsia" w:ascii="宋体" w:hAnsi="宋体"/>
                <w:bCs/>
                <w:iCs/>
                <w:color w:val="000000"/>
                <w:szCs w:val="21"/>
              </w:rPr>
            </w:pPr>
            <w:r>
              <w:rPr>
                <w:rFonts w:hint="eastAsia" w:ascii="宋体" w:hAnsi="宋体"/>
                <w:bCs/>
                <w:iCs/>
                <w:color w:val="000000"/>
                <w:szCs w:val="21"/>
              </w:rPr>
              <w:t>（1）</w:t>
            </w:r>
            <w:r>
              <w:rPr>
                <w:rFonts w:ascii="宋体" w:hAnsi="宋体"/>
                <w:bCs/>
                <w:iCs/>
                <w:color w:val="000000"/>
                <w:szCs w:val="21"/>
              </w:rPr>
              <w:t>新能源汽车高端零部件产业基地项目</w:t>
            </w:r>
            <w:r>
              <w:rPr>
                <w:rFonts w:hint="eastAsia" w:ascii="宋体" w:hAnsi="宋体"/>
                <w:bCs/>
                <w:iCs/>
                <w:color w:val="000000"/>
                <w:szCs w:val="21"/>
              </w:rPr>
              <w:t>：本</w:t>
            </w:r>
            <w:r>
              <w:rPr>
                <w:rFonts w:ascii="宋体" w:hAnsi="宋体"/>
                <w:bCs/>
                <w:iCs/>
                <w:color w:val="000000"/>
                <w:szCs w:val="21"/>
              </w:rPr>
              <w:t>项目</w:t>
            </w:r>
            <w:r>
              <w:rPr>
                <w:rFonts w:hint="eastAsia" w:ascii="宋体" w:hAnsi="宋体"/>
                <w:bCs/>
                <w:iCs/>
                <w:color w:val="000000"/>
                <w:szCs w:val="21"/>
              </w:rPr>
              <w:t>计划总投资21.87亿元，其中拟使用募集资金投资18.65亿元。</w:t>
            </w:r>
            <w:r>
              <w:rPr>
                <w:rFonts w:ascii="宋体" w:hAnsi="宋体"/>
                <w:bCs/>
                <w:iCs/>
                <w:color w:val="000000"/>
                <w:szCs w:val="21"/>
              </w:rPr>
              <w:t>拟在常州市武进国家高新技术产业开发区建设产业基地，包括新建生产车间以及仓库等配套设施，购置先进产品生产线等，主要生产新能源汽车高压驱动电机定转子以及底盘电机、全主动悬架电液泵等新能源汽车高端零部件。</w:t>
            </w:r>
            <w:r>
              <w:rPr>
                <w:rFonts w:hint="eastAsia" w:ascii="宋体" w:hAnsi="宋体"/>
                <w:bCs/>
                <w:iCs/>
                <w:color w:val="000000"/>
                <w:szCs w:val="21"/>
              </w:rPr>
              <w:t>本项目旨在进一步扩大公司汽车零部件产能，并重点拓展底盘域电机等新兴领域，以把握行业电动化、智能化发展机遇。项目建成后，将有效缓解产能瓶颈，提升对下游客户的响应与配套能力，支撑公司该业务板块的持续增长与战略升级。</w:t>
            </w:r>
          </w:p>
          <w:p w14:paraId="59468FF7">
            <w:pPr>
              <w:spacing w:line="276" w:lineRule="auto"/>
              <w:ind w:firstLine="421"/>
              <w:rPr>
                <w:rFonts w:hint="eastAsia" w:ascii="宋体" w:hAnsi="宋体"/>
                <w:bCs/>
                <w:iCs/>
                <w:color w:val="000000"/>
                <w:szCs w:val="21"/>
              </w:rPr>
            </w:pPr>
            <w:r>
              <w:rPr>
                <w:rFonts w:hint="eastAsia" w:ascii="宋体" w:hAnsi="宋体"/>
                <w:bCs/>
                <w:iCs/>
                <w:color w:val="000000"/>
                <w:szCs w:val="21"/>
              </w:rPr>
              <w:t>（2）高端液压部件生产系统智能化升级项目：本</w:t>
            </w:r>
            <w:r>
              <w:rPr>
                <w:rFonts w:ascii="宋体" w:hAnsi="宋体"/>
                <w:bCs/>
                <w:iCs/>
                <w:color w:val="000000"/>
                <w:szCs w:val="21"/>
              </w:rPr>
              <w:t>项目</w:t>
            </w:r>
            <w:r>
              <w:rPr>
                <w:rFonts w:hint="eastAsia" w:ascii="宋体" w:hAnsi="宋体"/>
                <w:bCs/>
                <w:iCs/>
                <w:color w:val="000000"/>
                <w:szCs w:val="21"/>
              </w:rPr>
              <w:t>总投资为6.11亿元，拟使用募集资金5.35亿元，</w:t>
            </w:r>
            <w:r>
              <w:rPr>
                <w:rFonts w:ascii="宋体" w:hAnsi="宋体"/>
                <w:bCs/>
                <w:iCs/>
                <w:color w:val="000000"/>
                <w:szCs w:val="21"/>
              </w:rPr>
              <w:t>系公司通过工艺布局重新调整、智能化生产线规划、智能仓储物流建设和全业务流程的数字化系统建设，实现液压支架油缸加工及装配的精益化、智能化、绿色化生产，效率和质量进一步提升，降低生产成本，建立起国际技术领先的智能工厂。</w:t>
            </w:r>
          </w:p>
          <w:p w14:paraId="66F1BDAA">
            <w:pPr>
              <w:spacing w:line="276" w:lineRule="auto"/>
              <w:ind w:firstLine="421"/>
              <w:rPr>
                <w:rFonts w:hint="eastAsia" w:ascii="宋体" w:hAnsi="宋体"/>
                <w:bCs/>
                <w:iCs/>
                <w:color w:val="000000"/>
                <w:szCs w:val="21"/>
              </w:rPr>
            </w:pPr>
            <w:r>
              <w:rPr>
                <w:rFonts w:hint="eastAsia" w:ascii="宋体" w:hAnsi="宋体"/>
                <w:bCs/>
                <w:iCs/>
                <w:color w:val="000000"/>
                <w:szCs w:val="21"/>
              </w:rPr>
              <w:t>（3）</w:t>
            </w:r>
            <w:r>
              <w:rPr>
                <w:rFonts w:ascii="宋体" w:hAnsi="宋体"/>
                <w:bCs/>
                <w:iCs/>
                <w:color w:val="000000"/>
                <w:szCs w:val="21"/>
              </w:rPr>
              <w:t>智能制造全场景研发中心项目</w:t>
            </w:r>
            <w:r>
              <w:rPr>
                <w:rFonts w:hint="eastAsia" w:ascii="宋体" w:hAnsi="宋体"/>
                <w:bCs/>
                <w:iCs/>
                <w:color w:val="000000"/>
                <w:szCs w:val="21"/>
              </w:rPr>
              <w:t>：本项目总投资为3.98亿元，拟使用募集资金2.80亿元。</w:t>
            </w:r>
            <w:r>
              <w:rPr>
                <w:rFonts w:ascii="宋体" w:hAnsi="宋体"/>
                <w:bCs/>
                <w:iCs/>
                <w:color w:val="000000"/>
                <w:szCs w:val="21"/>
              </w:rPr>
              <w:t>公司拟建智能制造全场景研发中心，核心聚焦人工智能技术在制造业融合应用，系统梳理各个行业重点环节应用场景，全面融合行业大模型、人工智能、数字孪生等前沿技术，重点围绕人工智能技术与工业互联网融合应用、生产运营全流程智能化、平台技术迭代、软件智能化升级、工业智能体及智能装备核心技术展开研发攻关，构建以人工智能为驱动的新质生产力。通过升级研发设备、扩容研发场地、整合现有技术资源，加大核心研发人才引育力度，打造制造业数字化转型促进中心，加快标杆解决方案和经验推广应用，努力实现公司“成为全球领先并可持续发展的智能工业解决方案提供商”的宏伟愿景。</w:t>
            </w:r>
          </w:p>
          <w:p w14:paraId="28DDA79A">
            <w:pPr>
              <w:spacing w:line="276" w:lineRule="auto"/>
              <w:ind w:firstLine="421"/>
              <w:rPr>
                <w:rFonts w:hint="eastAsia" w:ascii="宋体" w:hAnsi="宋体"/>
                <w:bCs/>
                <w:iCs/>
                <w:color w:val="000000"/>
                <w:szCs w:val="21"/>
              </w:rPr>
            </w:pPr>
            <w:r>
              <w:rPr>
                <w:rFonts w:hint="eastAsia" w:ascii="宋体" w:hAnsi="宋体"/>
                <w:bCs/>
                <w:iCs/>
                <w:color w:val="000000"/>
                <w:szCs w:val="21"/>
              </w:rPr>
              <w:t>（4）智能移动机器人制造基地项目：本项目总投资为6.19亿元，拟使用募集资金4.70亿元。公司拟建设智能移动机器人制造基地，生产空中搬运机器人、物流机器人、仓储机器人等，全面升级物流装备基础能力，构建统一技术底座和场景化应用套件相结合的智能硬件支撑体系，打造智能移动机器人数字化标杆工厂，有效推动公司从以提供解决方案为主向解决方案与智能装备制造并重转型，进一步为客户构建高效、柔性的内部物流体系。</w:t>
            </w:r>
          </w:p>
          <w:p w14:paraId="62DC15A0">
            <w:pPr>
              <w:spacing w:line="276" w:lineRule="auto"/>
              <w:ind w:firstLine="421"/>
              <w:rPr>
                <w:rFonts w:hint="eastAsia" w:ascii="宋体" w:hAnsi="宋体"/>
                <w:bCs/>
                <w:iCs/>
                <w:color w:val="000000"/>
                <w:szCs w:val="21"/>
              </w:rPr>
            </w:pPr>
          </w:p>
          <w:p w14:paraId="59CCB138">
            <w:pPr>
              <w:spacing w:line="276" w:lineRule="auto"/>
              <w:ind w:firstLine="421"/>
              <w:rPr>
                <w:rFonts w:hint="eastAsia" w:ascii="宋体" w:hAnsi="宋体"/>
                <w:bCs/>
                <w:iCs/>
                <w:color w:val="000000"/>
                <w:szCs w:val="21"/>
              </w:rPr>
            </w:pPr>
            <w:r>
              <w:rPr>
                <w:rFonts w:hint="eastAsia" w:ascii="宋体" w:hAnsi="宋体"/>
                <w:bCs/>
                <w:iCs/>
                <w:color w:val="000000"/>
                <w:szCs w:val="21"/>
              </w:rPr>
              <w:t>2、公司在前期员工持股计划中提到未来分红比例不低于50%，基于以上的资本开支计划和对未来盈利的预期，维持未来两年较高的分红比例是否有压力？</w:t>
            </w:r>
          </w:p>
          <w:p w14:paraId="218C2974">
            <w:pPr>
              <w:spacing w:line="276" w:lineRule="auto"/>
              <w:ind w:firstLine="421"/>
              <w:rPr>
                <w:rFonts w:hint="eastAsia" w:ascii="宋体" w:hAnsi="宋体"/>
                <w:bCs/>
                <w:iCs/>
                <w:color w:val="000000"/>
                <w:szCs w:val="21"/>
              </w:rPr>
            </w:pPr>
            <w:r>
              <w:rPr>
                <w:rFonts w:hint="eastAsia" w:ascii="宋体" w:hAnsi="宋体"/>
                <w:bCs/>
                <w:iCs/>
                <w:color w:val="000000"/>
                <w:szCs w:val="21"/>
              </w:rPr>
              <w:t>答：公司长期坚持并严格执行既定的分红政策，该政策是基于公司稳健的经营业绩和充裕的现金流而制定的，与本次融资计划无直接关联。本次发行可转债旨在为公司战略布局及新项目建设提供专项资金支持，不会影响公司既有分红政策的连续性与稳定性。公司将继续统筹兼顾股东回报与长远发展，在保障业务拓展和结构升级的同时，持续落实对投资者的合理回报。</w:t>
            </w:r>
          </w:p>
          <w:p w14:paraId="1E19A279">
            <w:pPr>
              <w:spacing w:line="276" w:lineRule="auto"/>
              <w:ind w:firstLine="421"/>
              <w:rPr>
                <w:rFonts w:hint="eastAsia" w:ascii="宋体" w:hAnsi="宋体"/>
                <w:bCs/>
                <w:iCs/>
                <w:color w:val="000000"/>
                <w:szCs w:val="21"/>
              </w:rPr>
            </w:pPr>
          </w:p>
          <w:p w14:paraId="5970DDC1">
            <w:pPr>
              <w:spacing w:line="276" w:lineRule="auto"/>
              <w:ind w:firstLine="421"/>
              <w:rPr>
                <w:rFonts w:hint="eastAsia" w:ascii="宋体" w:hAnsi="宋体"/>
                <w:bCs/>
                <w:iCs/>
                <w:color w:val="000000"/>
                <w:szCs w:val="21"/>
              </w:rPr>
            </w:pPr>
            <w:r>
              <w:rPr>
                <w:rFonts w:hint="eastAsia" w:ascii="宋体" w:hAnsi="宋体"/>
                <w:bCs/>
                <w:iCs/>
                <w:color w:val="000000"/>
                <w:szCs w:val="21"/>
              </w:rPr>
              <w:t>3、恒达智控和数耘科技业务有没有新的进展可以和投资者分享？</w:t>
            </w:r>
          </w:p>
          <w:p w14:paraId="2EF73EF6">
            <w:pPr>
              <w:spacing w:line="276" w:lineRule="auto"/>
              <w:ind w:firstLine="420" w:firstLineChars="200"/>
              <w:rPr>
                <w:rFonts w:hint="eastAsia" w:ascii="宋体" w:hAnsi="宋体"/>
                <w:bCs/>
                <w:iCs/>
                <w:color w:val="000000"/>
                <w:szCs w:val="21"/>
              </w:rPr>
            </w:pPr>
            <w:r>
              <w:rPr>
                <w:rFonts w:hint="eastAsia" w:ascii="宋体" w:hAnsi="宋体"/>
                <w:bCs/>
                <w:iCs/>
                <w:color w:val="000000"/>
                <w:szCs w:val="21"/>
              </w:rPr>
              <w:t>答：</w:t>
            </w:r>
            <w:r>
              <w:rPr>
                <w:rFonts w:ascii="宋体" w:hAnsi="宋体"/>
                <w:bCs/>
                <w:iCs/>
                <w:color w:val="000000"/>
                <w:szCs w:val="21"/>
              </w:rPr>
              <w:t>为贯彻落实公司智能化发展战略，优化资源配置并提升整体竞争力，公司近期已完成对旗下智能制造相关业务单元的战略性重组。原数耘科技在结构件等离散制造领域具有深厚积累，而恒达</w:t>
            </w:r>
            <w:r>
              <w:rPr>
                <w:rFonts w:hint="eastAsia" w:ascii="宋体" w:hAnsi="宋体"/>
                <w:bCs/>
                <w:iCs/>
                <w:color w:val="000000"/>
                <w:szCs w:val="21"/>
              </w:rPr>
              <w:t>智控</w:t>
            </w:r>
            <w:r>
              <w:rPr>
                <w:rFonts w:ascii="宋体" w:hAnsi="宋体"/>
                <w:bCs/>
                <w:iCs/>
                <w:color w:val="000000"/>
                <w:szCs w:val="21"/>
              </w:rPr>
              <w:t>在机加工、切削工艺及智能仓储系统等方面具备突出技术优势。通过对双方优势能力的有机整合，公司现已组建统一的、实力更强的智能制造业务单元。此次重组显著增强了公司在智能工厂各核心环节的完整解决方案能力，形成了覆盖更广、协同性更强的技术和服务体系，为面向市场提供更全面、高效的智能制造整体解决方案奠定了坚实基础。</w:t>
            </w:r>
          </w:p>
          <w:p w14:paraId="0E80C281">
            <w:pPr>
              <w:spacing w:line="276" w:lineRule="auto"/>
              <w:ind w:firstLine="420" w:firstLineChars="200"/>
              <w:rPr>
                <w:rFonts w:hint="eastAsia" w:ascii="宋体" w:hAnsi="宋体"/>
                <w:bCs/>
                <w:iCs/>
                <w:color w:val="000000"/>
                <w:szCs w:val="21"/>
              </w:rPr>
            </w:pPr>
          </w:p>
          <w:p w14:paraId="773B3762">
            <w:pPr>
              <w:spacing w:line="276" w:lineRule="auto"/>
              <w:ind w:firstLine="420" w:firstLineChars="200"/>
              <w:rPr>
                <w:rFonts w:hint="eastAsia" w:ascii="宋体" w:hAnsi="宋体"/>
                <w:bCs/>
                <w:iCs/>
                <w:color w:val="000000"/>
                <w:szCs w:val="21"/>
              </w:rPr>
            </w:pPr>
            <w:r>
              <w:rPr>
                <w:rFonts w:hint="eastAsia" w:ascii="宋体" w:hAnsi="宋体"/>
                <w:bCs/>
                <w:iCs/>
                <w:color w:val="000000"/>
                <w:szCs w:val="21"/>
              </w:rPr>
              <w:t>4、在预案中，我们看到了“智能移动机器人制造基地项目”的建设。可以理解为，机器人、移动机器人的制造也是我们离散制造智能工厂解决方案的一部分。这部分有没有一些可以跟我们分享的进展？</w:t>
            </w:r>
          </w:p>
          <w:p w14:paraId="36C1E236">
            <w:pPr>
              <w:spacing w:line="276" w:lineRule="auto"/>
              <w:ind w:firstLine="420" w:firstLineChars="200"/>
              <w:rPr>
                <w:rFonts w:hint="eastAsia" w:ascii="宋体" w:hAnsi="宋体"/>
                <w:bCs/>
                <w:iCs/>
                <w:color w:val="000000"/>
                <w:szCs w:val="21"/>
              </w:rPr>
            </w:pPr>
            <w:r>
              <w:rPr>
                <w:rFonts w:hint="eastAsia" w:ascii="宋体" w:hAnsi="宋体"/>
                <w:bCs/>
                <w:iCs/>
                <w:color w:val="000000"/>
                <w:szCs w:val="21"/>
              </w:rPr>
              <w:t>答：</w:t>
            </w:r>
            <w:r>
              <w:rPr>
                <w:rFonts w:ascii="宋体" w:hAnsi="宋体"/>
                <w:bCs/>
                <w:iCs/>
                <w:color w:val="000000"/>
                <w:szCs w:val="21"/>
              </w:rPr>
              <w:t>公司</w:t>
            </w:r>
            <w:r>
              <w:rPr>
                <w:rFonts w:hint="eastAsia" w:ascii="宋体" w:hAnsi="宋体"/>
                <w:bCs/>
                <w:iCs/>
                <w:color w:val="000000"/>
                <w:szCs w:val="21"/>
              </w:rPr>
              <w:t>工业</w:t>
            </w:r>
            <w:r>
              <w:rPr>
                <w:rFonts w:ascii="宋体" w:hAnsi="宋体"/>
                <w:bCs/>
                <w:iCs/>
                <w:color w:val="000000"/>
                <w:szCs w:val="21"/>
              </w:rPr>
              <w:t>智能</w:t>
            </w:r>
            <w:r>
              <w:rPr>
                <w:rFonts w:hint="eastAsia" w:ascii="宋体" w:hAnsi="宋体"/>
                <w:bCs/>
                <w:iCs/>
                <w:color w:val="000000"/>
                <w:szCs w:val="21"/>
              </w:rPr>
              <w:t>板块</w:t>
            </w:r>
            <w:r>
              <w:rPr>
                <w:rFonts w:ascii="宋体" w:hAnsi="宋体"/>
                <w:bCs/>
                <w:iCs/>
                <w:color w:val="000000"/>
                <w:szCs w:val="21"/>
              </w:rPr>
              <w:t>致力于成为全球领先的离散制造数智融合工厂解决方案服务商、煤矿全栈式智能化解决方案提供商及智能工业数字化生态运营商。该方案以自主开发的智能移动机器人（包括空中搬运机器人</w:t>
            </w:r>
            <w:r>
              <w:rPr>
                <w:rFonts w:hint="eastAsia" w:ascii="宋体" w:hAnsi="宋体"/>
                <w:bCs/>
                <w:iCs/>
                <w:color w:val="000000"/>
                <w:szCs w:val="21"/>
              </w:rPr>
              <w:t>即</w:t>
            </w:r>
            <w:r>
              <w:rPr>
                <w:rFonts w:ascii="宋体" w:hAnsi="宋体"/>
                <w:bCs/>
                <w:iCs/>
                <w:color w:val="000000"/>
                <w:szCs w:val="21"/>
              </w:rPr>
              <w:t>智能天车、各类物流与仓储机器人）等硬件为载体，结合统一技术底座与场景化应用套件构成的软件平台，形成完整支撑体系。这些产品与系统均基于公司在智能制造领域长期积累的行业认知与技术研发能力开发而成。</w:t>
            </w:r>
          </w:p>
          <w:p w14:paraId="54BFA7E9">
            <w:pPr>
              <w:spacing w:line="276" w:lineRule="auto"/>
              <w:ind w:firstLine="420" w:firstLineChars="200"/>
              <w:rPr>
                <w:rFonts w:hint="eastAsia" w:ascii="宋体" w:hAnsi="宋体"/>
                <w:bCs/>
                <w:iCs/>
                <w:color w:val="000000"/>
                <w:szCs w:val="21"/>
              </w:rPr>
            </w:pPr>
            <w:r>
              <w:rPr>
                <w:rFonts w:ascii="宋体" w:hAnsi="宋体"/>
                <w:bCs/>
                <w:iCs/>
                <w:color w:val="000000"/>
                <w:szCs w:val="21"/>
              </w:rPr>
              <w:t>目前，相关业务市场拓展符合预期，订单储备态势良好，增长趋势持续。在制造模式上，公司当前相关装备技术及集成能力尚分散于多个主体。为构建规模化、标准化、可复制的制造体系，提升核心环节的自主可控能力与响应效率，公司正积极推进智能移动机器人制造基地的建设，以系统整合内部资源，实现关键智能装备的集中生产与持续迭代。</w:t>
            </w:r>
          </w:p>
          <w:p w14:paraId="69116DD1">
            <w:pPr>
              <w:spacing w:line="276" w:lineRule="auto"/>
              <w:rPr>
                <w:rFonts w:hint="eastAsia" w:ascii="宋体" w:hAnsi="宋体"/>
                <w:bCs/>
                <w:iCs/>
                <w:color w:val="000000"/>
                <w:szCs w:val="21"/>
              </w:rPr>
            </w:pPr>
          </w:p>
          <w:p w14:paraId="3AED1357">
            <w:pPr>
              <w:spacing w:line="276" w:lineRule="auto"/>
              <w:ind w:firstLine="421"/>
              <w:rPr>
                <w:rFonts w:hint="eastAsia" w:ascii="宋体" w:hAnsi="宋体"/>
                <w:bCs/>
                <w:iCs/>
                <w:color w:val="000000"/>
                <w:szCs w:val="21"/>
              </w:rPr>
            </w:pPr>
            <w:r>
              <w:rPr>
                <w:rFonts w:hint="eastAsia" w:ascii="宋体" w:hAnsi="宋体"/>
                <w:bCs/>
                <w:iCs/>
                <w:color w:val="000000"/>
                <w:szCs w:val="21"/>
              </w:rPr>
              <w:t>5、公司的主营业务情况如何？</w:t>
            </w:r>
          </w:p>
          <w:p w14:paraId="2F57CF26">
            <w:pPr>
              <w:spacing w:line="276" w:lineRule="auto"/>
              <w:ind w:firstLine="421"/>
              <w:rPr>
                <w:rFonts w:hint="eastAsia" w:ascii="宋体" w:hAnsi="宋体"/>
                <w:bCs/>
                <w:iCs/>
                <w:color w:val="000000"/>
                <w:szCs w:val="21"/>
              </w:rPr>
            </w:pPr>
            <w:r>
              <w:rPr>
                <w:rFonts w:hint="eastAsia" w:ascii="宋体" w:hAnsi="宋体"/>
                <w:bCs/>
                <w:iCs/>
                <w:color w:val="000000"/>
                <w:szCs w:val="21"/>
              </w:rPr>
              <w:t>答：公司当前聚焦“煤矿机械+汽车零部件+工业智能”三大核心业务板块，整体经营保持稳健增长，结构持续优化，展现出良好的发展韧性与战略协同性。</w:t>
            </w:r>
          </w:p>
          <w:p w14:paraId="6800FAF8">
            <w:pPr>
              <w:spacing w:line="276" w:lineRule="auto"/>
              <w:ind w:firstLine="421"/>
              <w:rPr>
                <w:rFonts w:hint="eastAsia" w:ascii="宋体" w:hAnsi="宋体"/>
                <w:bCs/>
                <w:iCs/>
                <w:color w:val="000000"/>
                <w:szCs w:val="21"/>
              </w:rPr>
            </w:pPr>
            <w:r>
              <w:rPr>
                <w:rFonts w:hint="eastAsia" w:ascii="宋体" w:hAnsi="宋体"/>
                <w:bCs/>
                <w:iCs/>
                <w:color w:val="000000"/>
                <w:szCs w:val="21"/>
              </w:rPr>
              <w:t>煤机业务作为压舱石，持续巩固行业龙头地位。依托以液压支架为核心的成套智能装备技术与产品优势，为众多煤矿客户提供定制化智能化解决方案，产品在国内外市场获得主流客户广泛认可。通过统一平台、统一架构实现数据互通、协同作业，大幅提高煤炭开采效率，将安全可靠性推向新高度；构建“远程智采系统+全矿井AI分析+工业互联网平台+智能管控平台”的数字闭环，让矿山从“人工经验管理”转向“数据智能驱动”；推进电动支架、常水支架、露天连续开采、绿色开采、智能掘进、矿用辅助机器人等新产品新技术研发应用，研发构建煤矿机器人技术体系，确保在煤机市场中的领先地位；聚焦煤矿“生产运营、安全运营、装备运营”三大方向，运用数智手段为客户提供多场景服务，打造“矿山与装备制造数智化运营”新模式。</w:t>
            </w:r>
          </w:p>
          <w:p w14:paraId="78B1F92D">
            <w:pPr>
              <w:spacing w:line="276" w:lineRule="auto"/>
              <w:ind w:firstLine="421"/>
              <w:rPr>
                <w:rFonts w:hint="eastAsia" w:ascii="宋体" w:hAnsi="宋体"/>
                <w:bCs/>
                <w:iCs/>
                <w:color w:val="000000"/>
                <w:szCs w:val="21"/>
              </w:rPr>
            </w:pPr>
            <w:r>
              <w:rPr>
                <w:rFonts w:hint="eastAsia" w:ascii="宋体" w:hAnsi="宋体"/>
                <w:bCs/>
                <w:iCs/>
                <w:color w:val="000000"/>
                <w:szCs w:val="21"/>
              </w:rPr>
              <w:t>汽车零部件业务已成为公司重要的增长支柱，涵盖汽车动力系统零部件、底盘系统零部件、起动机及发电机、新能源驱动电机零部件等业务，包括亚新科和索恩格（SEG）、索恩格电动（SES）等品牌。该业务板块持续巩固传统优势份额，并积极推进组织与供应链优化，实现经营提质增效。在新能源领域，重点推动驱动电机、减震密封等核心部件的量产爬坡与工艺创新，稳步推进产能建设与成本优化，保障交付能力与盈利水平，持续拓展在电动化与智能化方向的产品布局。</w:t>
            </w:r>
          </w:p>
          <w:p w14:paraId="4CAEE1A8">
            <w:pPr>
              <w:spacing w:line="276" w:lineRule="auto"/>
              <w:ind w:firstLine="421"/>
              <w:rPr>
                <w:rFonts w:hint="eastAsia" w:ascii="宋体" w:hAnsi="宋体"/>
                <w:bCs/>
                <w:iCs/>
                <w:color w:val="000000"/>
                <w:szCs w:val="21"/>
              </w:rPr>
            </w:pPr>
            <w:r>
              <w:rPr>
                <w:rFonts w:hint="eastAsia" w:ascii="宋体" w:hAnsi="宋体"/>
                <w:bCs/>
                <w:iCs/>
                <w:color w:val="000000"/>
                <w:szCs w:val="21"/>
              </w:rPr>
              <w:t>工业智能业务作为公司战略培育的新兴板块，致力于成为全球领先的离散制造数智融合工厂解决方案服务商、煤矿全栈式智能化解决方案提供商及智能工业数字化生态运营商。该板块深度融合信息技术与运营技术，依托自主研发的智能制造平台、工业互联网平台，以及智能天车、AGV等先进硬件装备，为客户提供从规划设计到落地交付的全流程、一站式、可复制的“交钥匙”解决方案，持续推动“人工智能+制造”在智慧矿山、数字化工厂、智能物流等场景的深度融合与应用。</w:t>
            </w:r>
          </w:p>
          <w:p w14:paraId="607AF326">
            <w:pPr>
              <w:spacing w:line="276" w:lineRule="auto"/>
              <w:ind w:firstLine="421"/>
              <w:rPr>
                <w:rFonts w:hint="eastAsia" w:ascii="宋体" w:hAnsi="宋体"/>
                <w:bCs/>
                <w:iCs/>
                <w:color w:val="000000"/>
                <w:szCs w:val="21"/>
              </w:rPr>
            </w:pPr>
            <w:r>
              <w:rPr>
                <w:rFonts w:hint="eastAsia" w:ascii="宋体" w:hAnsi="宋体"/>
                <w:bCs/>
                <w:iCs/>
                <w:color w:val="000000"/>
                <w:szCs w:val="21"/>
              </w:rPr>
              <w:t>整体来看，公司以电动化、智能化、全球化为核心战略，通过技术创新、产能布局与生态合作持续强化竞争优势，各业务板块协同互补，为长期高质量发展奠定坚实基础。</w:t>
            </w:r>
          </w:p>
          <w:p w14:paraId="34AE8398">
            <w:pPr>
              <w:spacing w:line="276" w:lineRule="auto"/>
              <w:ind w:firstLine="421"/>
              <w:rPr>
                <w:rFonts w:ascii="宋体" w:hAnsi="宋体"/>
                <w:bCs/>
                <w:iCs/>
                <w:color w:val="000000"/>
                <w:szCs w:val="21"/>
              </w:rPr>
            </w:pPr>
          </w:p>
          <w:p w14:paraId="092D9139">
            <w:pPr>
              <w:spacing w:line="276" w:lineRule="auto"/>
              <w:ind w:firstLine="421"/>
              <w:rPr>
                <w:rFonts w:hint="eastAsia" w:ascii="宋体" w:hAnsi="宋体"/>
                <w:bCs/>
                <w:iCs/>
                <w:color w:val="000000"/>
                <w:szCs w:val="21"/>
              </w:rPr>
            </w:pPr>
            <w:r>
              <w:rPr>
                <w:rFonts w:hint="eastAsia" w:ascii="宋体" w:hAnsi="宋体"/>
                <w:bCs/>
                <w:iCs/>
                <w:color w:val="000000"/>
                <w:szCs w:val="21"/>
              </w:rPr>
              <w:t>6、公司近期经营情况如何？</w:t>
            </w:r>
          </w:p>
          <w:p w14:paraId="441B7677">
            <w:pPr>
              <w:spacing w:line="276" w:lineRule="auto"/>
              <w:ind w:firstLine="421"/>
              <w:rPr>
                <w:rFonts w:hint="eastAsia" w:ascii="宋体" w:hAnsi="宋体"/>
                <w:bCs/>
                <w:iCs/>
                <w:color w:val="000000"/>
                <w:szCs w:val="21"/>
              </w:rPr>
            </w:pPr>
            <w:r>
              <w:rPr>
                <w:rFonts w:hint="eastAsia" w:ascii="宋体" w:hAnsi="宋体"/>
                <w:bCs/>
                <w:iCs/>
                <w:color w:val="000000"/>
                <w:szCs w:val="21"/>
              </w:rPr>
              <w:t>答：公司三大业务板块当前经营态势稳健，业务发展平稳，整体协同推进公司战略落地。</w:t>
            </w:r>
          </w:p>
          <w:p w14:paraId="0A9B253E">
            <w:pPr>
              <w:spacing w:line="276" w:lineRule="auto"/>
              <w:ind w:firstLine="421"/>
              <w:rPr>
                <w:rFonts w:hint="eastAsia" w:ascii="宋体" w:hAnsi="宋体"/>
                <w:bCs/>
                <w:iCs/>
                <w:color w:val="000000"/>
                <w:szCs w:val="21"/>
              </w:rPr>
            </w:pPr>
            <w:r>
              <w:rPr>
                <w:rFonts w:hint="eastAsia" w:ascii="宋体" w:hAnsi="宋体"/>
                <w:bCs/>
                <w:iCs/>
                <w:color w:val="000000"/>
                <w:szCs w:val="21"/>
              </w:rPr>
              <w:t>煤矿机械板块业务经营稳健，行业龙头地位持续巩固。公司在保持国内市场份额领先的同时，坚定不移地推进国际化战略，海外布局成效显著。目前，公司产品与服务已成功进入美国、澳大利亚、印尼、土耳其等全球主要产煤国家与地区，建立了扎实的客户基础与市场口碑，海外业务呈现良好发展态势。面向未来，公司将持续深化全球布局，积极探索在海外重点区域建设服务基地等本地化运营模式，以进一步提升国际市场响应速度与服务深度，强化全球竞争力。</w:t>
            </w:r>
          </w:p>
          <w:p w14:paraId="18E1B707">
            <w:pPr>
              <w:spacing w:line="276" w:lineRule="auto"/>
              <w:ind w:firstLine="421"/>
              <w:rPr>
                <w:rFonts w:hint="eastAsia" w:ascii="宋体" w:hAnsi="宋体"/>
                <w:bCs/>
                <w:iCs/>
                <w:color w:val="000000"/>
                <w:szCs w:val="21"/>
              </w:rPr>
            </w:pPr>
            <w:r>
              <w:rPr>
                <w:rFonts w:hint="eastAsia" w:ascii="宋体" w:hAnsi="宋体"/>
                <w:bCs/>
                <w:iCs/>
                <w:color w:val="000000"/>
                <w:szCs w:val="21"/>
              </w:rPr>
              <w:t>汽车零部件板块业务发展具备良好的持续性与稳定性，延续了健康增长态势。公司在该领域已构建涵盖动力系统部件、底盘系统部件（包括减振密封、空气悬架、转向等）、驱动电机、热管理等在内的综合产品能力。通过持续强化研发创新、严格质量控制与深入的成本优化，板块运营效率与综合竞争力不断夯实，为长期稳健发展提供了坚实基础。</w:t>
            </w:r>
          </w:p>
          <w:p w14:paraId="13BE03C5">
            <w:pPr>
              <w:spacing w:line="276" w:lineRule="auto"/>
              <w:ind w:firstLine="421"/>
              <w:rPr>
                <w:rFonts w:hint="eastAsia" w:ascii="宋体" w:hAnsi="宋体"/>
                <w:bCs/>
                <w:iCs/>
                <w:color w:val="000000"/>
                <w:szCs w:val="21"/>
              </w:rPr>
            </w:pPr>
            <w:r>
              <w:rPr>
                <w:rFonts w:hint="eastAsia" w:ascii="宋体" w:hAnsi="宋体"/>
                <w:bCs/>
                <w:iCs/>
                <w:color w:val="000000"/>
                <w:szCs w:val="21"/>
              </w:rPr>
              <w:t>工业智能板块作为公司整合优势资源着力打造的战略新兴板块，其核心优势在于深度融合人工智能技术与工业场景。相较于行业普遍情况，公司在AI工艺优化、智能调度算法及高精度导航等软件与算法领域已建立起一定的技术积累与实践经验。通过系统整合内外部资源，公司正着力构建覆盖“规划设计、核心智能装备（如智能天车、各类AGV）及工业软件平台”的软硬一体化交付能力，从而为客户提供集成度更高的智能制造解决方案。板块致力于为离散制造行业提供数智融合工厂整体解决方案，并为客户提供全栈式智能化解决方案，其差异化竞争力正持续转化为市场拓展动力。</w:t>
            </w:r>
          </w:p>
          <w:p w14:paraId="52176AF3">
            <w:pPr>
              <w:spacing w:line="276" w:lineRule="auto"/>
              <w:ind w:firstLine="421"/>
              <w:rPr>
                <w:rFonts w:hint="eastAsia" w:ascii="宋体" w:hAnsi="宋体"/>
                <w:bCs/>
                <w:iCs/>
                <w:color w:val="000000"/>
                <w:szCs w:val="21"/>
              </w:rPr>
            </w:pPr>
            <w:r>
              <w:rPr>
                <w:rFonts w:hint="eastAsia" w:ascii="宋体" w:hAnsi="宋体"/>
                <w:bCs/>
                <w:iCs/>
                <w:color w:val="000000"/>
                <w:szCs w:val="21"/>
              </w:rPr>
              <w:t>总体而言，公司各板块运营正常，战略方向清晰，并通过国际化、智能化升级与内部协同，共同支撑公司行稳致远。</w:t>
            </w:r>
          </w:p>
          <w:p w14:paraId="0362CB41">
            <w:pPr>
              <w:spacing w:line="276" w:lineRule="auto"/>
              <w:ind w:firstLine="421"/>
              <w:rPr>
                <w:rFonts w:hint="eastAsia" w:ascii="宋体" w:hAnsi="宋体"/>
                <w:bCs/>
                <w:iCs/>
                <w:color w:val="000000"/>
                <w:szCs w:val="21"/>
              </w:rPr>
            </w:pPr>
          </w:p>
        </w:tc>
      </w:tr>
    </w:tbl>
    <w:p w14:paraId="5FACFBD9"/>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617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07DD0"/>
    <w:rsid w:val="000171E8"/>
    <w:rsid w:val="00024E11"/>
    <w:rsid w:val="000254B7"/>
    <w:rsid w:val="000268C0"/>
    <w:rsid w:val="000363B5"/>
    <w:rsid w:val="000375D7"/>
    <w:rsid w:val="00043015"/>
    <w:rsid w:val="00046DDE"/>
    <w:rsid w:val="00047EB9"/>
    <w:rsid w:val="0005141A"/>
    <w:rsid w:val="00060A74"/>
    <w:rsid w:val="00067110"/>
    <w:rsid w:val="00083CC3"/>
    <w:rsid w:val="00091E50"/>
    <w:rsid w:val="0009298A"/>
    <w:rsid w:val="000A2808"/>
    <w:rsid w:val="000A3BAC"/>
    <w:rsid w:val="000A6188"/>
    <w:rsid w:val="000C1192"/>
    <w:rsid w:val="000C22ED"/>
    <w:rsid w:val="000C26FD"/>
    <w:rsid w:val="000C2D85"/>
    <w:rsid w:val="000D51BD"/>
    <w:rsid w:val="000E5700"/>
    <w:rsid w:val="000E7BE0"/>
    <w:rsid w:val="000F0C4B"/>
    <w:rsid w:val="000F0E22"/>
    <w:rsid w:val="000F4E2D"/>
    <w:rsid w:val="00103C75"/>
    <w:rsid w:val="00105A04"/>
    <w:rsid w:val="001104AD"/>
    <w:rsid w:val="001169A9"/>
    <w:rsid w:val="00125EB2"/>
    <w:rsid w:val="001372C7"/>
    <w:rsid w:val="00142A4C"/>
    <w:rsid w:val="00144279"/>
    <w:rsid w:val="00144F83"/>
    <w:rsid w:val="001452FF"/>
    <w:rsid w:val="001575C9"/>
    <w:rsid w:val="0016617A"/>
    <w:rsid w:val="00167E99"/>
    <w:rsid w:val="001704D4"/>
    <w:rsid w:val="001975AB"/>
    <w:rsid w:val="001A00F5"/>
    <w:rsid w:val="001A1F65"/>
    <w:rsid w:val="001A5CE9"/>
    <w:rsid w:val="001A6D45"/>
    <w:rsid w:val="001C50AD"/>
    <w:rsid w:val="001C7E8A"/>
    <w:rsid w:val="001D22EE"/>
    <w:rsid w:val="001D4C89"/>
    <w:rsid w:val="001E1838"/>
    <w:rsid w:val="001E3145"/>
    <w:rsid w:val="001E6509"/>
    <w:rsid w:val="001E7968"/>
    <w:rsid w:val="001F1F7C"/>
    <w:rsid w:val="0020445C"/>
    <w:rsid w:val="0022180A"/>
    <w:rsid w:val="00223ABC"/>
    <w:rsid w:val="002241B9"/>
    <w:rsid w:val="002274D9"/>
    <w:rsid w:val="0023014B"/>
    <w:rsid w:val="0023455A"/>
    <w:rsid w:val="00237994"/>
    <w:rsid w:val="0024773B"/>
    <w:rsid w:val="00251D58"/>
    <w:rsid w:val="002530EE"/>
    <w:rsid w:val="002549E6"/>
    <w:rsid w:val="00255174"/>
    <w:rsid w:val="00256602"/>
    <w:rsid w:val="00271C8D"/>
    <w:rsid w:val="00273B53"/>
    <w:rsid w:val="0028080C"/>
    <w:rsid w:val="00283CD9"/>
    <w:rsid w:val="00295257"/>
    <w:rsid w:val="00297703"/>
    <w:rsid w:val="002A0826"/>
    <w:rsid w:val="002A0984"/>
    <w:rsid w:val="002A2074"/>
    <w:rsid w:val="002A589B"/>
    <w:rsid w:val="002B1184"/>
    <w:rsid w:val="002B71B8"/>
    <w:rsid w:val="002B7469"/>
    <w:rsid w:val="002C22C6"/>
    <w:rsid w:val="002C6568"/>
    <w:rsid w:val="002C723B"/>
    <w:rsid w:val="002D39BC"/>
    <w:rsid w:val="002E1B15"/>
    <w:rsid w:val="002E1D3A"/>
    <w:rsid w:val="002E64CE"/>
    <w:rsid w:val="002F15B7"/>
    <w:rsid w:val="002F6320"/>
    <w:rsid w:val="003005F0"/>
    <w:rsid w:val="003030BF"/>
    <w:rsid w:val="00304F89"/>
    <w:rsid w:val="00306023"/>
    <w:rsid w:val="003216B6"/>
    <w:rsid w:val="00324648"/>
    <w:rsid w:val="00324DA1"/>
    <w:rsid w:val="0032676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C62AF"/>
    <w:rsid w:val="003D18F1"/>
    <w:rsid w:val="003D3424"/>
    <w:rsid w:val="003E001E"/>
    <w:rsid w:val="003E1D3D"/>
    <w:rsid w:val="003F7C4D"/>
    <w:rsid w:val="0040075F"/>
    <w:rsid w:val="00403300"/>
    <w:rsid w:val="004118C0"/>
    <w:rsid w:val="00417A31"/>
    <w:rsid w:val="0042004B"/>
    <w:rsid w:val="004236D5"/>
    <w:rsid w:val="00433384"/>
    <w:rsid w:val="0043777D"/>
    <w:rsid w:val="0045702C"/>
    <w:rsid w:val="0045767F"/>
    <w:rsid w:val="00463E9B"/>
    <w:rsid w:val="00467414"/>
    <w:rsid w:val="0047105E"/>
    <w:rsid w:val="00473F30"/>
    <w:rsid w:val="0048591A"/>
    <w:rsid w:val="00486D86"/>
    <w:rsid w:val="0048721A"/>
    <w:rsid w:val="004A0BD5"/>
    <w:rsid w:val="004A1BBF"/>
    <w:rsid w:val="004A73E5"/>
    <w:rsid w:val="004B60FF"/>
    <w:rsid w:val="004B7372"/>
    <w:rsid w:val="004C19BF"/>
    <w:rsid w:val="004D7640"/>
    <w:rsid w:val="004E1A9B"/>
    <w:rsid w:val="004E45B0"/>
    <w:rsid w:val="004F01C1"/>
    <w:rsid w:val="004F64D6"/>
    <w:rsid w:val="004F6D0C"/>
    <w:rsid w:val="00500AB6"/>
    <w:rsid w:val="00511CAD"/>
    <w:rsid w:val="005155FB"/>
    <w:rsid w:val="00523907"/>
    <w:rsid w:val="005277C6"/>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B1026"/>
    <w:rsid w:val="005B19D3"/>
    <w:rsid w:val="005B642F"/>
    <w:rsid w:val="005C04C1"/>
    <w:rsid w:val="005C1785"/>
    <w:rsid w:val="005C4CB5"/>
    <w:rsid w:val="005D2D87"/>
    <w:rsid w:val="005D6A09"/>
    <w:rsid w:val="005E2B4B"/>
    <w:rsid w:val="005E5F63"/>
    <w:rsid w:val="005E6BA1"/>
    <w:rsid w:val="005F1985"/>
    <w:rsid w:val="0060779A"/>
    <w:rsid w:val="006225D4"/>
    <w:rsid w:val="00622F13"/>
    <w:rsid w:val="00625503"/>
    <w:rsid w:val="0062662D"/>
    <w:rsid w:val="00632E78"/>
    <w:rsid w:val="006344F1"/>
    <w:rsid w:val="00637186"/>
    <w:rsid w:val="00645F80"/>
    <w:rsid w:val="00646DF4"/>
    <w:rsid w:val="00651DE6"/>
    <w:rsid w:val="006523BB"/>
    <w:rsid w:val="0065347E"/>
    <w:rsid w:val="00654B49"/>
    <w:rsid w:val="00662505"/>
    <w:rsid w:val="0066674C"/>
    <w:rsid w:val="00675926"/>
    <w:rsid w:val="006760F7"/>
    <w:rsid w:val="006861C7"/>
    <w:rsid w:val="00686DDF"/>
    <w:rsid w:val="0069493B"/>
    <w:rsid w:val="00697B12"/>
    <w:rsid w:val="006A3D63"/>
    <w:rsid w:val="006A55BB"/>
    <w:rsid w:val="006A637E"/>
    <w:rsid w:val="006A6BED"/>
    <w:rsid w:val="006A7613"/>
    <w:rsid w:val="006B661A"/>
    <w:rsid w:val="006B7D00"/>
    <w:rsid w:val="006C4B66"/>
    <w:rsid w:val="006C6BC5"/>
    <w:rsid w:val="006D3F4E"/>
    <w:rsid w:val="006D4595"/>
    <w:rsid w:val="006D61A2"/>
    <w:rsid w:val="006E1DB4"/>
    <w:rsid w:val="006F5645"/>
    <w:rsid w:val="0074309D"/>
    <w:rsid w:val="00750C6D"/>
    <w:rsid w:val="00753DB6"/>
    <w:rsid w:val="007623A7"/>
    <w:rsid w:val="00763847"/>
    <w:rsid w:val="0077120D"/>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17365"/>
    <w:rsid w:val="00836F34"/>
    <w:rsid w:val="00843E73"/>
    <w:rsid w:val="00844EBF"/>
    <w:rsid w:val="00852B30"/>
    <w:rsid w:val="00854F61"/>
    <w:rsid w:val="00864202"/>
    <w:rsid w:val="00865EAC"/>
    <w:rsid w:val="00873B59"/>
    <w:rsid w:val="0087701F"/>
    <w:rsid w:val="00892022"/>
    <w:rsid w:val="0089283D"/>
    <w:rsid w:val="008A0ADC"/>
    <w:rsid w:val="008A1BAB"/>
    <w:rsid w:val="008B38B7"/>
    <w:rsid w:val="008B458E"/>
    <w:rsid w:val="008C4D4A"/>
    <w:rsid w:val="008E11AE"/>
    <w:rsid w:val="008E1708"/>
    <w:rsid w:val="008E19B0"/>
    <w:rsid w:val="008E4844"/>
    <w:rsid w:val="00904492"/>
    <w:rsid w:val="00904DFB"/>
    <w:rsid w:val="0091457B"/>
    <w:rsid w:val="00923763"/>
    <w:rsid w:val="00930ED6"/>
    <w:rsid w:val="0093293F"/>
    <w:rsid w:val="00933105"/>
    <w:rsid w:val="0093681C"/>
    <w:rsid w:val="009474EF"/>
    <w:rsid w:val="00962626"/>
    <w:rsid w:val="009762CF"/>
    <w:rsid w:val="009767DD"/>
    <w:rsid w:val="00977AF2"/>
    <w:rsid w:val="00985FC5"/>
    <w:rsid w:val="009925A0"/>
    <w:rsid w:val="00993BDD"/>
    <w:rsid w:val="009A6DFB"/>
    <w:rsid w:val="009B6EC0"/>
    <w:rsid w:val="009C4E52"/>
    <w:rsid w:val="009C508C"/>
    <w:rsid w:val="009C7FAF"/>
    <w:rsid w:val="009D4199"/>
    <w:rsid w:val="009E5E6A"/>
    <w:rsid w:val="009F0DD5"/>
    <w:rsid w:val="009F0F59"/>
    <w:rsid w:val="009F1B95"/>
    <w:rsid w:val="009F1E5F"/>
    <w:rsid w:val="009F6C05"/>
    <w:rsid w:val="009F7468"/>
    <w:rsid w:val="00A00C4D"/>
    <w:rsid w:val="00A0642E"/>
    <w:rsid w:val="00A13CB6"/>
    <w:rsid w:val="00A14A1A"/>
    <w:rsid w:val="00A20FF5"/>
    <w:rsid w:val="00A22CDD"/>
    <w:rsid w:val="00A25AEE"/>
    <w:rsid w:val="00A2712B"/>
    <w:rsid w:val="00A31EB1"/>
    <w:rsid w:val="00A33AEA"/>
    <w:rsid w:val="00A35512"/>
    <w:rsid w:val="00A36248"/>
    <w:rsid w:val="00A427A5"/>
    <w:rsid w:val="00A461CD"/>
    <w:rsid w:val="00A469C5"/>
    <w:rsid w:val="00A5317D"/>
    <w:rsid w:val="00A6093F"/>
    <w:rsid w:val="00A6284E"/>
    <w:rsid w:val="00A63E81"/>
    <w:rsid w:val="00A8775A"/>
    <w:rsid w:val="00A90CDC"/>
    <w:rsid w:val="00AA1678"/>
    <w:rsid w:val="00AA5998"/>
    <w:rsid w:val="00AB07E7"/>
    <w:rsid w:val="00AC3EB5"/>
    <w:rsid w:val="00AD1BA8"/>
    <w:rsid w:val="00B02A29"/>
    <w:rsid w:val="00B03522"/>
    <w:rsid w:val="00B04AD6"/>
    <w:rsid w:val="00B14CAA"/>
    <w:rsid w:val="00B257CE"/>
    <w:rsid w:val="00B36FF4"/>
    <w:rsid w:val="00B37892"/>
    <w:rsid w:val="00B4746C"/>
    <w:rsid w:val="00B5458A"/>
    <w:rsid w:val="00B61577"/>
    <w:rsid w:val="00B61D20"/>
    <w:rsid w:val="00B65354"/>
    <w:rsid w:val="00B70563"/>
    <w:rsid w:val="00B71A0E"/>
    <w:rsid w:val="00B77FCA"/>
    <w:rsid w:val="00B81765"/>
    <w:rsid w:val="00B83029"/>
    <w:rsid w:val="00B832F5"/>
    <w:rsid w:val="00B867A6"/>
    <w:rsid w:val="00B91A2B"/>
    <w:rsid w:val="00BA03B0"/>
    <w:rsid w:val="00BA2FAB"/>
    <w:rsid w:val="00BA7824"/>
    <w:rsid w:val="00BB2C4C"/>
    <w:rsid w:val="00BB5E28"/>
    <w:rsid w:val="00BB725E"/>
    <w:rsid w:val="00BD15F3"/>
    <w:rsid w:val="00BD7986"/>
    <w:rsid w:val="00BD79D3"/>
    <w:rsid w:val="00BF5282"/>
    <w:rsid w:val="00C04F82"/>
    <w:rsid w:val="00C11452"/>
    <w:rsid w:val="00C15AC0"/>
    <w:rsid w:val="00C166C3"/>
    <w:rsid w:val="00C17A0F"/>
    <w:rsid w:val="00C26030"/>
    <w:rsid w:val="00C3214D"/>
    <w:rsid w:val="00C41091"/>
    <w:rsid w:val="00C5176B"/>
    <w:rsid w:val="00C56ABC"/>
    <w:rsid w:val="00C63056"/>
    <w:rsid w:val="00C661D1"/>
    <w:rsid w:val="00C70DC7"/>
    <w:rsid w:val="00C775BA"/>
    <w:rsid w:val="00C77F41"/>
    <w:rsid w:val="00C83544"/>
    <w:rsid w:val="00C85331"/>
    <w:rsid w:val="00C85A50"/>
    <w:rsid w:val="00C912DB"/>
    <w:rsid w:val="00C94D46"/>
    <w:rsid w:val="00CA443A"/>
    <w:rsid w:val="00CA7234"/>
    <w:rsid w:val="00CB2461"/>
    <w:rsid w:val="00CB37FD"/>
    <w:rsid w:val="00CC4D65"/>
    <w:rsid w:val="00CC61E7"/>
    <w:rsid w:val="00CD25AD"/>
    <w:rsid w:val="00CD3FFC"/>
    <w:rsid w:val="00CE099B"/>
    <w:rsid w:val="00CF565C"/>
    <w:rsid w:val="00D016A3"/>
    <w:rsid w:val="00D211F9"/>
    <w:rsid w:val="00D217BB"/>
    <w:rsid w:val="00D358B0"/>
    <w:rsid w:val="00D36B7B"/>
    <w:rsid w:val="00D512E3"/>
    <w:rsid w:val="00D57E91"/>
    <w:rsid w:val="00D602C9"/>
    <w:rsid w:val="00D70EE3"/>
    <w:rsid w:val="00D71E34"/>
    <w:rsid w:val="00D80E53"/>
    <w:rsid w:val="00D82128"/>
    <w:rsid w:val="00D90C1F"/>
    <w:rsid w:val="00D91E1F"/>
    <w:rsid w:val="00DA26A9"/>
    <w:rsid w:val="00DB01FF"/>
    <w:rsid w:val="00DC7778"/>
    <w:rsid w:val="00DD45E3"/>
    <w:rsid w:val="00DE3B8C"/>
    <w:rsid w:val="00DE7391"/>
    <w:rsid w:val="00DF2DB5"/>
    <w:rsid w:val="00DF51A4"/>
    <w:rsid w:val="00DF6560"/>
    <w:rsid w:val="00E04914"/>
    <w:rsid w:val="00E04CC0"/>
    <w:rsid w:val="00E136FF"/>
    <w:rsid w:val="00E241F4"/>
    <w:rsid w:val="00E32528"/>
    <w:rsid w:val="00E35F26"/>
    <w:rsid w:val="00E53165"/>
    <w:rsid w:val="00E576FC"/>
    <w:rsid w:val="00E61EF7"/>
    <w:rsid w:val="00E663B4"/>
    <w:rsid w:val="00E80CEB"/>
    <w:rsid w:val="00EA5103"/>
    <w:rsid w:val="00EA6FB9"/>
    <w:rsid w:val="00EB0422"/>
    <w:rsid w:val="00EB0AA3"/>
    <w:rsid w:val="00EB5E6A"/>
    <w:rsid w:val="00EC15D0"/>
    <w:rsid w:val="00EC2AD7"/>
    <w:rsid w:val="00EC512B"/>
    <w:rsid w:val="00EC66A6"/>
    <w:rsid w:val="00ED7DE0"/>
    <w:rsid w:val="00EE7891"/>
    <w:rsid w:val="00EF49FE"/>
    <w:rsid w:val="00EF5341"/>
    <w:rsid w:val="00F04908"/>
    <w:rsid w:val="00F07C21"/>
    <w:rsid w:val="00F12EF6"/>
    <w:rsid w:val="00F15828"/>
    <w:rsid w:val="00F21065"/>
    <w:rsid w:val="00F21BD0"/>
    <w:rsid w:val="00F24CB4"/>
    <w:rsid w:val="00F43465"/>
    <w:rsid w:val="00F45475"/>
    <w:rsid w:val="00F5260F"/>
    <w:rsid w:val="00F64E72"/>
    <w:rsid w:val="00F70C7D"/>
    <w:rsid w:val="00F70D6A"/>
    <w:rsid w:val="00F77B6C"/>
    <w:rsid w:val="00F8743C"/>
    <w:rsid w:val="00F9065D"/>
    <w:rsid w:val="00F9272E"/>
    <w:rsid w:val="00F94D5F"/>
    <w:rsid w:val="00F95B9C"/>
    <w:rsid w:val="00F97743"/>
    <w:rsid w:val="00FA6DAF"/>
    <w:rsid w:val="00FB5FDA"/>
    <w:rsid w:val="00FC6884"/>
    <w:rsid w:val="00FE40A4"/>
    <w:rsid w:val="00FE62F3"/>
    <w:rsid w:val="00FF71D2"/>
    <w:rsid w:val="1435492F"/>
    <w:rsid w:val="1B2418A5"/>
    <w:rsid w:val="1CA947A9"/>
    <w:rsid w:val="1FBFC074"/>
    <w:rsid w:val="21F6268C"/>
    <w:rsid w:val="26206248"/>
    <w:rsid w:val="330B70B2"/>
    <w:rsid w:val="36FB9E1F"/>
    <w:rsid w:val="3BFA3B96"/>
    <w:rsid w:val="3CEF3472"/>
    <w:rsid w:val="3EFF16E9"/>
    <w:rsid w:val="4B2C7C9E"/>
    <w:rsid w:val="4DF80FD5"/>
    <w:rsid w:val="510E228A"/>
    <w:rsid w:val="51D856FF"/>
    <w:rsid w:val="64A8600E"/>
    <w:rsid w:val="68A13D2A"/>
    <w:rsid w:val="6E4007CA"/>
    <w:rsid w:val="77CF73AC"/>
    <w:rsid w:val="78FF0116"/>
    <w:rsid w:val="7F3B67B1"/>
    <w:rsid w:val="7F4570C8"/>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unhideWhenUsed/>
    <w:qFormat/>
    <w:uiPriority w:val="99"/>
    <w:rPr>
      <w:color w:val="0563C1"/>
      <w:u w:val="single"/>
    </w:rPr>
  </w:style>
  <w:style w:type="paragraph" w:customStyle="1" w:styleId="11">
    <w:name w:val="_Style 6"/>
    <w:basedOn w:val="1"/>
    <w:qFormat/>
    <w:uiPriority w:val="34"/>
    <w:pPr>
      <w:ind w:firstLine="420" w:firstLineChars="200"/>
    </w:pPr>
    <w:rPr>
      <w:rFonts w:ascii="Calibri" w:hAnsi="Calibri"/>
      <w:szCs w:val="22"/>
    </w:rPr>
  </w:style>
  <w:style w:type="paragraph" w:customStyle="1" w:styleId="12">
    <w:name w:val="Char Char Char"/>
    <w:basedOn w:val="1"/>
    <w:qFormat/>
    <w:uiPriority w:val="0"/>
    <w:rPr>
      <w:szCs w:val="21"/>
    </w:rPr>
  </w:style>
  <w:style w:type="paragraph" w:customStyle="1" w:styleId="13">
    <w:name w:val="Char Char Char Char Char Char Char Char Char Char Char Char Char Char Char Char"/>
    <w:basedOn w:val="1"/>
    <w:qFormat/>
    <w:uiPriority w:val="0"/>
  </w:style>
  <w:style w:type="paragraph" w:customStyle="1" w:styleId="14">
    <w:name w:val="Char Char Char1"/>
    <w:basedOn w:val="1"/>
    <w:qFormat/>
    <w:uiPriority w:val="0"/>
  </w:style>
  <w:style w:type="character" w:customStyle="1" w:styleId="15">
    <w:name w:val="页脚 字符"/>
    <w:basedOn w:val="8"/>
    <w:link w:val="3"/>
    <w:qFormat/>
    <w:uiPriority w:val="0"/>
    <w:rPr>
      <w:kern w:val="2"/>
      <w:sz w:val="18"/>
      <w:szCs w:val="18"/>
    </w:rPr>
  </w:style>
  <w:style w:type="character" w:customStyle="1" w:styleId="16">
    <w:name w:val="页眉 字符"/>
    <w:basedOn w:val="8"/>
    <w:link w:val="4"/>
    <w:qFormat/>
    <w:uiPriority w:val="0"/>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4073</Words>
  <Characters>4187</Characters>
  <Lines>30</Lines>
  <Paragraphs>8</Paragraphs>
  <TotalTime>266</TotalTime>
  <ScaleCrop>false</ScaleCrop>
  <LinksUpToDate>false</LinksUpToDate>
  <CharactersWithSpaces>4262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2025-10-14T07:55:00Z</dcterms:created>
  <dc:creator>微软用户</dc:creator>
  <cp:lastModifiedBy>aym05</cp:lastModifiedBy>
  <cp:lastPrinted>2026-01-19T08:27:45Z</cp:lastPrinted>
  <dcterms:modified xsi:type="dcterms:W3CDTF">2026-01-19T08:53:18Z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F11EBC4364EE434E958A84F6D5E8EB46_13</vt:lpwstr>
  </property>
  <property fmtid="{D5CDD505-2E9C-101B-9397-08002B2CF9AE}" pid="4" name="KSOTemplateDocerSaveRecord">
    <vt:lpwstr>eyJoZGlkIjoiYjMyNTQ1YTVlNDJkY2Q3NTI5ZjdiYWIwZjVmYTNhMTUiLCJ1c2VySWQiOiIzMTcyMTMzMjgifQ==</vt:lpwstr>
  </property>
</Properties>
</file>