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D5B8B" w14:textId="77777777" w:rsidR="00957F71" w:rsidRDefault="002339BE">
      <w:pPr>
        <w:pStyle w:val="a5"/>
        <w:tabs>
          <w:tab w:val="left" w:pos="6339"/>
        </w:tabs>
        <w:spacing w:before="52"/>
        <w:ind w:left="220"/>
        <w:rPr>
          <w:lang w:eastAsia="zh-CN"/>
        </w:rPr>
      </w:pPr>
      <w:r>
        <w:rPr>
          <w:lang w:eastAsia="zh-CN"/>
        </w:rPr>
        <w:t>证券代码：</w:t>
      </w:r>
      <w:r>
        <w:rPr>
          <w:rFonts w:ascii="Times New Roman" w:hAnsi="Times New Roman" w:cs="Times New Roman"/>
          <w:lang w:eastAsia="zh-CN"/>
        </w:rPr>
        <w:t>603370</w:t>
      </w:r>
      <w:r>
        <w:rPr>
          <w:lang w:eastAsia="zh-CN"/>
        </w:rPr>
        <w:tab/>
        <w:t>证券简称：</w:t>
      </w:r>
      <w:r>
        <w:rPr>
          <w:rFonts w:hint="eastAsia"/>
          <w:lang w:eastAsia="zh-CN"/>
        </w:rPr>
        <w:t>华新精科</w:t>
      </w:r>
    </w:p>
    <w:p w14:paraId="521DDFCD" w14:textId="77777777" w:rsidR="00957F71" w:rsidRDefault="00957F71">
      <w:pPr>
        <w:pStyle w:val="a5"/>
        <w:rPr>
          <w:lang w:eastAsia="zh-CN"/>
        </w:rPr>
      </w:pPr>
    </w:p>
    <w:p w14:paraId="5F1FA26C" w14:textId="77777777" w:rsidR="00957F71" w:rsidRDefault="00957F71">
      <w:pPr>
        <w:pStyle w:val="a5"/>
        <w:spacing w:before="1"/>
        <w:rPr>
          <w:lang w:eastAsia="zh-CN"/>
        </w:rPr>
      </w:pPr>
    </w:p>
    <w:p w14:paraId="5BA6F91A" w14:textId="77777777" w:rsidR="00957F71" w:rsidRDefault="002339BE">
      <w:pPr>
        <w:spacing w:before="1" w:line="376" w:lineRule="auto"/>
        <w:ind w:right="40"/>
        <w:jc w:val="center"/>
        <w:rPr>
          <w:rFonts w:ascii="黑体" w:eastAsia="黑体" w:hAnsi="黑体"/>
          <w:b/>
          <w:w w:val="95"/>
          <w:sz w:val="36"/>
          <w:szCs w:val="36"/>
          <w:lang w:eastAsia="zh-CN"/>
        </w:rPr>
      </w:pPr>
      <w:r>
        <w:rPr>
          <w:rFonts w:ascii="黑体" w:eastAsia="黑体" w:hAnsi="黑体" w:hint="eastAsia"/>
          <w:b/>
          <w:w w:val="95"/>
          <w:sz w:val="36"/>
          <w:szCs w:val="36"/>
          <w:lang w:eastAsia="zh-CN"/>
        </w:rPr>
        <w:t>江阴华新</w:t>
      </w:r>
      <w:proofErr w:type="gramStart"/>
      <w:r>
        <w:rPr>
          <w:rFonts w:ascii="黑体" w:eastAsia="黑体" w:hAnsi="黑体" w:hint="eastAsia"/>
          <w:b/>
          <w:w w:val="95"/>
          <w:sz w:val="36"/>
          <w:szCs w:val="36"/>
          <w:lang w:eastAsia="zh-CN"/>
        </w:rPr>
        <w:t>精密科技</w:t>
      </w:r>
      <w:proofErr w:type="gramEnd"/>
      <w:r>
        <w:rPr>
          <w:rFonts w:ascii="黑体" w:eastAsia="黑体" w:hAnsi="黑体"/>
          <w:b/>
          <w:w w:val="95"/>
          <w:sz w:val="36"/>
          <w:szCs w:val="36"/>
          <w:lang w:eastAsia="zh-CN"/>
        </w:rPr>
        <w:t>股份有限公司</w:t>
      </w:r>
    </w:p>
    <w:p w14:paraId="2FAF3B8E" w14:textId="77777777" w:rsidR="00957F71" w:rsidRDefault="002339BE">
      <w:pPr>
        <w:spacing w:before="1" w:line="376" w:lineRule="auto"/>
        <w:ind w:right="40"/>
        <w:jc w:val="center"/>
        <w:rPr>
          <w:rFonts w:ascii="黑体" w:eastAsia="黑体" w:hAnsi="黑体"/>
          <w:b/>
          <w:w w:val="95"/>
          <w:sz w:val="36"/>
          <w:szCs w:val="36"/>
          <w:lang w:eastAsia="zh-CN"/>
        </w:rPr>
      </w:pPr>
      <w:r>
        <w:rPr>
          <w:rFonts w:ascii="黑体" w:eastAsia="黑体" w:hAnsi="黑体"/>
          <w:b/>
          <w:sz w:val="36"/>
          <w:szCs w:val="36"/>
          <w:lang w:eastAsia="zh-CN"/>
        </w:rPr>
        <w:t>投资</w:t>
      </w:r>
      <w:r>
        <w:rPr>
          <w:rFonts w:ascii="黑体" w:eastAsia="黑体" w:hAnsi="黑体" w:hint="eastAsia"/>
          <w:b/>
          <w:sz w:val="36"/>
          <w:szCs w:val="36"/>
          <w:lang w:eastAsia="zh-CN"/>
        </w:rPr>
        <w:t>者</w:t>
      </w:r>
      <w:r>
        <w:rPr>
          <w:rFonts w:ascii="黑体" w:eastAsia="黑体" w:hAnsi="黑体"/>
          <w:b/>
          <w:sz w:val="36"/>
          <w:szCs w:val="36"/>
          <w:lang w:eastAsia="zh-CN"/>
        </w:rPr>
        <w:t>关系活动记录表</w:t>
      </w:r>
    </w:p>
    <w:p w14:paraId="708C79A5" w14:textId="2C76E3DA" w:rsidR="00957F71" w:rsidRDefault="002339BE">
      <w:pPr>
        <w:pStyle w:val="a5"/>
        <w:spacing w:before="34" w:after="44"/>
        <w:ind w:right="242"/>
        <w:jc w:val="right"/>
        <w:rPr>
          <w:lang w:eastAsia="zh-CN"/>
        </w:rPr>
      </w:pPr>
      <w:r>
        <w:rPr>
          <w:lang w:eastAsia="zh-CN"/>
        </w:rPr>
        <w:t>编号：</w:t>
      </w:r>
      <w:r w:rsidR="0070724F">
        <w:rPr>
          <w:rFonts w:ascii="Times New Roman" w:hAnsi="Times New Roman" w:cs="Times New Roman"/>
          <w:lang w:eastAsia="zh-CN"/>
        </w:rPr>
        <w:t>2026</w:t>
      </w:r>
      <w:r>
        <w:rPr>
          <w:lang w:eastAsia="zh-CN"/>
        </w:rPr>
        <w:t>-</w:t>
      </w:r>
      <w:r w:rsidR="0070724F">
        <w:rPr>
          <w:rFonts w:ascii="Times New Roman" w:hAnsi="Times New Roman" w:cs="Times New Roman"/>
          <w:lang w:eastAsia="zh-CN"/>
        </w:rPr>
        <w:t>002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6908"/>
      </w:tblGrid>
      <w:tr w:rsidR="00957F71" w14:paraId="650D1B38" w14:textId="77777777">
        <w:trPr>
          <w:trHeight w:val="2240"/>
        </w:trPr>
        <w:tc>
          <w:tcPr>
            <w:tcW w:w="1592" w:type="dxa"/>
            <w:vAlign w:val="center"/>
          </w:tcPr>
          <w:p w14:paraId="58239E95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</w:rPr>
            </w:pP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投资者关系活动类别</w:t>
            </w:r>
            <w:proofErr w:type="spellEnd"/>
          </w:p>
        </w:tc>
        <w:tc>
          <w:tcPr>
            <w:tcW w:w="6908" w:type="dxa"/>
            <w:vAlign w:val="center"/>
          </w:tcPr>
          <w:p w14:paraId="6987ACD8" w14:textId="77777777" w:rsidR="00957F71" w:rsidRDefault="002339BE">
            <w:pPr>
              <w:pStyle w:val="TableParagraph"/>
              <w:tabs>
                <w:tab w:val="left" w:pos="274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sym w:font="Wingdings 2" w:char="F052"/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特定对象调研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ab/>
              <w:t>□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分析师会议</w:t>
            </w:r>
          </w:p>
          <w:p w14:paraId="0ADF264C" w14:textId="77777777" w:rsidR="00957F71" w:rsidRDefault="002339BE">
            <w:pPr>
              <w:pStyle w:val="TableParagraph"/>
              <w:tabs>
                <w:tab w:val="left" w:pos="274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媒体采访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ab/>
              <w:t>□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业绩说明会</w:t>
            </w:r>
          </w:p>
          <w:p w14:paraId="282432AD" w14:textId="77777777" w:rsidR="00957F71" w:rsidRDefault="002339BE">
            <w:pPr>
              <w:pStyle w:val="TableParagraph"/>
              <w:tabs>
                <w:tab w:val="left" w:pos="274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新闻发布会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ab/>
              <w:t>□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路演活动</w:t>
            </w:r>
          </w:p>
          <w:p w14:paraId="410B2EBF" w14:textId="77777777" w:rsidR="00957F71" w:rsidRDefault="002339BE">
            <w:pPr>
              <w:pStyle w:val="TableParagraph"/>
              <w:tabs>
                <w:tab w:val="left" w:pos="274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现场参观</w:t>
            </w:r>
            <w:proofErr w:type="spell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ab/>
              <w:t>□</w:t>
            </w: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其他</w:t>
            </w:r>
            <w:proofErr w:type="spellEnd"/>
          </w:p>
        </w:tc>
      </w:tr>
      <w:tr w:rsidR="00957F71" w14:paraId="22F95BBF" w14:textId="77777777">
        <w:trPr>
          <w:trHeight w:val="560"/>
        </w:trPr>
        <w:tc>
          <w:tcPr>
            <w:tcW w:w="1592" w:type="dxa"/>
            <w:shd w:val="clear" w:color="auto" w:fill="auto"/>
            <w:vAlign w:val="center"/>
          </w:tcPr>
          <w:p w14:paraId="24E50975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参与单位名称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（排名不分先后）</w:t>
            </w:r>
          </w:p>
        </w:tc>
        <w:tc>
          <w:tcPr>
            <w:tcW w:w="6908" w:type="dxa"/>
            <w:shd w:val="clear" w:color="auto" w:fill="auto"/>
            <w:vAlign w:val="center"/>
          </w:tcPr>
          <w:p w14:paraId="1BBAF43F" w14:textId="6AE2B002" w:rsidR="00957F71" w:rsidRDefault="002339BE">
            <w:pPr>
              <w:pStyle w:val="TableParagraph"/>
              <w:tabs>
                <w:tab w:val="left" w:pos="274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信达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证券、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华金证券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中</w:t>
            </w:r>
            <w:proofErr w:type="gramStart"/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信建投</w:t>
            </w:r>
            <w:proofErr w:type="gramEnd"/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957F71" w14:paraId="2F7FFC4D" w14:textId="77777777">
        <w:trPr>
          <w:trHeight w:val="560"/>
        </w:trPr>
        <w:tc>
          <w:tcPr>
            <w:tcW w:w="1592" w:type="dxa"/>
            <w:vAlign w:val="center"/>
          </w:tcPr>
          <w:p w14:paraId="4ED4FF03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</w:rPr>
            </w:pP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6908" w:type="dxa"/>
            <w:vAlign w:val="center"/>
          </w:tcPr>
          <w:p w14:paraId="42C8FDF6" w14:textId="7C39F63F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2025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年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12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月</w:t>
            </w:r>
          </w:p>
        </w:tc>
      </w:tr>
      <w:tr w:rsidR="00957F71" w14:paraId="53A4E143" w14:textId="77777777">
        <w:trPr>
          <w:trHeight w:val="560"/>
        </w:trPr>
        <w:tc>
          <w:tcPr>
            <w:tcW w:w="1592" w:type="dxa"/>
            <w:vAlign w:val="center"/>
          </w:tcPr>
          <w:p w14:paraId="53417891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</w:rPr>
            </w:pP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地点</w:t>
            </w:r>
            <w:proofErr w:type="spellEnd"/>
          </w:p>
        </w:tc>
        <w:tc>
          <w:tcPr>
            <w:tcW w:w="6908" w:type="dxa"/>
            <w:vAlign w:val="center"/>
          </w:tcPr>
          <w:p w14:paraId="11BB25C6" w14:textId="21BC3E1B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公司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会议室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现场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+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电话会议</w:t>
            </w:r>
          </w:p>
        </w:tc>
      </w:tr>
      <w:tr w:rsidR="00957F71" w14:paraId="47010B67" w14:textId="77777777">
        <w:trPr>
          <w:trHeight w:val="816"/>
        </w:trPr>
        <w:tc>
          <w:tcPr>
            <w:tcW w:w="1592" w:type="dxa"/>
            <w:vAlign w:val="center"/>
          </w:tcPr>
          <w:p w14:paraId="7762BA5A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上市公司接待人员姓名</w:t>
            </w:r>
          </w:p>
        </w:tc>
        <w:tc>
          <w:tcPr>
            <w:tcW w:w="6908" w:type="dxa"/>
            <w:vAlign w:val="center"/>
          </w:tcPr>
          <w:p w14:paraId="28193DAB" w14:textId="77777777" w:rsidR="00957F71" w:rsidRDefault="002339BE">
            <w:pPr>
              <w:pStyle w:val="TableParagraph"/>
              <w:tabs>
                <w:tab w:val="left" w:pos="382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董事会秘书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郭婉蓉；</w:t>
            </w:r>
          </w:p>
          <w:p w14:paraId="219407EE" w14:textId="77777777" w:rsidR="00957F71" w:rsidRDefault="002339BE">
            <w:pPr>
              <w:pStyle w:val="TableParagraph"/>
              <w:tabs>
                <w:tab w:val="left" w:pos="382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证券事务代表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何蓉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蓉</w:t>
            </w:r>
            <w:proofErr w:type="gramEnd"/>
          </w:p>
        </w:tc>
      </w:tr>
      <w:tr w:rsidR="00957F71" w14:paraId="0C89161A" w14:textId="77777777">
        <w:trPr>
          <w:trHeight w:val="1063"/>
        </w:trPr>
        <w:tc>
          <w:tcPr>
            <w:tcW w:w="1592" w:type="dxa"/>
            <w:vAlign w:val="center"/>
          </w:tcPr>
          <w:p w14:paraId="46260EE2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6908" w:type="dxa"/>
            <w:vAlign w:val="center"/>
          </w:tcPr>
          <w:p w14:paraId="2D4238DB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一、董事会秘书介绍公司基本情况</w:t>
            </w:r>
          </w:p>
          <w:p w14:paraId="35DEB342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二、互动交流主要内容</w:t>
            </w:r>
          </w:p>
          <w:p w14:paraId="3D15D176" w14:textId="0EED71C8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、问：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公司收入按</w:t>
            </w:r>
            <w:r w:rsidR="007B690B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产品类型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进行拆分，各</w:t>
            </w:r>
            <w:r w:rsidR="007B690B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产品类型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收入规模、占比及相应增速情况？</w:t>
            </w:r>
          </w:p>
          <w:p w14:paraId="09118226" w14:textId="24E95F8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答：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公司主要产品类型可分为精密冲压铁芯和精密冲压模具，从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2022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年至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024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年度数据可以看到精密冲压铁芯占比总体较高，分别占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8.84%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4.87%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7.34%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，精密冲压模具占比在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.16%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.13%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.66%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；精密冲压铁芯产品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的年复合增长率约为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8.</w:t>
            </w:r>
            <w:r w:rsidR="00403A2B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92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%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，精密冲压模具产品的年复合增长率约为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66.</w:t>
            </w:r>
            <w:r w:rsidR="00403A2B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24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%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。</w:t>
            </w:r>
          </w:p>
          <w:p w14:paraId="30E4D06C" w14:textId="77777777" w:rsidR="00957F71" w:rsidRDefault="00957F71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</w:p>
          <w:p w14:paraId="438B5232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、问：公司收入的前五大客户及</w:t>
            </w:r>
            <w:proofErr w:type="gramStart"/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相应占</w:t>
            </w:r>
            <w:proofErr w:type="gramEnd"/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比，客户结构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2025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年较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2024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年是否发生较大变动？</w:t>
            </w:r>
          </w:p>
          <w:p w14:paraId="5F09519B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答：公司收入前五大客户如宝马、汇川、比亚迪、采埃孚、台达电子属于长期稳定合作的客户，客户结构暂未发生较大变动。</w:t>
            </w:r>
          </w:p>
          <w:p w14:paraId="68C3B884" w14:textId="77777777" w:rsidR="00957F71" w:rsidRDefault="00957F71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</w:p>
          <w:p w14:paraId="5BCA54BA" w14:textId="4DA75F95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、公司海外收入占比？近期是否受到海外贸易争端影响（如中美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lastRenderedPageBreak/>
              <w:t>关税、近期欧洲要求境内汽车制造比例达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70%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）</w:t>
            </w:r>
          </w:p>
          <w:p w14:paraId="66C3BC56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答：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公司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2022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年、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2023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年和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2024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年的海外收入（外销收入）占主营业务收入的比例分别为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13.24%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35.08%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和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29.63%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。</w:t>
            </w:r>
          </w:p>
          <w:p w14:paraId="1570384A" w14:textId="77777777" w:rsidR="00957F71" w:rsidRDefault="002339BE">
            <w:pPr>
              <w:pStyle w:val="TableParagraph"/>
              <w:spacing w:beforeLines="50" w:before="120" w:afterLines="50" w:after="120"/>
              <w:ind w:left="0" w:right="0" w:firstLineChars="200" w:firstLine="48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关于海外贸易争端的影响，地缘政治和贸易保护政策确实带来一定挑战，但客户会综合考虑采购成本与供应链稳定性，选择与合适的供应</w:t>
            </w:r>
            <w:proofErr w:type="gramStart"/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商长期</w:t>
            </w:r>
            <w:proofErr w:type="gramEnd"/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合作。为应对贸易摩擦，公司已采取以下措施：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</w:p>
          <w:p w14:paraId="2F8E32A0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）海外产能布局：在墨西哥设立生产基地，缩短与全球客户的距离，降低运输成本，提高产品竞争力。</w:t>
            </w:r>
          </w:p>
          <w:p w14:paraId="7D38FF16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）本地化服务：搭建海外营销团队，完善售后服务体系，增强客户响应能力。</w:t>
            </w:r>
          </w:p>
          <w:p w14:paraId="3BDA5BBE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）多元化市场：公司积极拓展北美洲、南美洲等市场，分散风险。</w:t>
            </w:r>
          </w:p>
          <w:p w14:paraId="3B2716E6" w14:textId="77777777" w:rsidR="00957F71" w:rsidRDefault="002339BE">
            <w:pPr>
              <w:pStyle w:val="TableParagraph"/>
              <w:spacing w:beforeLines="50" w:before="120" w:afterLines="50" w:after="120"/>
              <w:ind w:left="0" w:right="0" w:firstLineChars="200" w:firstLine="48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此外，公司将持续关注相关国家的贸易政策变化，及时调整经营策略，降低贸易摩擦带来的潜在影响。</w:t>
            </w:r>
          </w:p>
          <w:p w14:paraId="1C067481" w14:textId="77777777" w:rsidR="00957F71" w:rsidRDefault="00957F71">
            <w:pPr>
              <w:pStyle w:val="TableParagraph"/>
              <w:spacing w:beforeLines="50" w:before="120" w:afterLines="50" w:after="120"/>
              <w:ind w:left="0" w:right="0" w:firstLineChars="200" w:firstLine="48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</w:p>
          <w:p w14:paraId="01A5DC81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25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年业绩预期？以及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26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27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年增速预期？</w:t>
            </w:r>
          </w:p>
          <w:p w14:paraId="72DAB43B" w14:textId="290AC5CD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答：根据公司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2025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1-9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三季度报告，财务表现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较上年同期有所增长，经营业绩保持稳中有升。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025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年度的业绩情况请关注公司定期报告披露信息，后续公司将继续深耕主业，通过新客户开拓、产能提升、成本控制等举措，力争实现收入和利润的稳健增长。</w:t>
            </w:r>
          </w:p>
          <w:p w14:paraId="5D71D569" w14:textId="77777777" w:rsidR="00957F71" w:rsidRDefault="00957F71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</w:p>
          <w:p w14:paraId="3993D81A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公司中长期的战略目标和</w:t>
            </w:r>
            <w:proofErr w:type="gramStart"/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发展愿景是</w:t>
            </w:r>
            <w:proofErr w:type="gramEnd"/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什么？未来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3-5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年的核心战略规划及重点发展方向是什么？（例如：市场扩张、产品线延伸、技术升级、并购整合等）</w:t>
            </w:r>
          </w:p>
          <w:p w14:paraId="3EFBDEEF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答：公司战略目标：公司将以硅钢精密冲压产品业务为基础，拓展精密冲压铁芯应用领域及后</w:t>
            </w:r>
            <w:proofErr w:type="gramStart"/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道加工</w:t>
            </w:r>
            <w:proofErr w:type="gramEnd"/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业务，与产业链上下游紧密合作，并形成以点带面的发展战略。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</w:p>
          <w:p w14:paraId="5FA4548F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公司愿景：成为精密冲压铁芯一体化解决方案的全球引领者。</w:t>
            </w:r>
          </w:p>
          <w:p w14:paraId="15257E00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未来核心规划重点方向：</w:t>
            </w:r>
          </w:p>
          <w:p w14:paraId="27EF3FA4" w14:textId="3B73025F" w:rsidR="00957F71" w:rsidRDefault="002339BE">
            <w:pPr>
              <w:pStyle w:val="TableParagraph"/>
              <w:numPr>
                <w:ilvl w:val="0"/>
                <w:numId w:val="1"/>
              </w:numPr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产品开发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及技术优化：深耕新能源汽车驱动电机铁芯核心业务的同时，积极拓展机器人等新兴应用领域。优化点胶、铸铝、注塑等后道工艺及技术，提升产品附加值，构建多元化的产品矩阵。</w:t>
            </w:r>
          </w:p>
          <w:p w14:paraId="3A108647" w14:textId="78BFDBA4" w:rsidR="00957F71" w:rsidRDefault="002339BE">
            <w:pPr>
              <w:pStyle w:val="TableParagraph"/>
              <w:numPr>
                <w:ilvl w:val="0"/>
                <w:numId w:val="1"/>
              </w:numPr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市场开拓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：继续实施全球化市场战略，深耕国内市场的同时，进一步大力拓展海外市场。</w:t>
            </w:r>
          </w:p>
          <w:p w14:paraId="75FC3627" w14:textId="3F1F8B5A" w:rsidR="00957F71" w:rsidRDefault="002339BE">
            <w:pPr>
              <w:pStyle w:val="TableParagraph"/>
              <w:numPr>
                <w:ilvl w:val="0"/>
                <w:numId w:val="1"/>
              </w:numPr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资本运作规划：合理利用资本市场平台，为产能扩张、技术研发、市场开拓提供资金支持。同时优化资本结构，降低财务成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lastRenderedPageBreak/>
              <w:t>本，提高资金使用效率，确保公司战略目标的顺利实现。</w:t>
            </w:r>
          </w:p>
          <w:p w14:paraId="2ED9EED8" w14:textId="77777777" w:rsidR="00957F71" w:rsidRDefault="00957F71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</w:p>
          <w:p w14:paraId="6F8B4B2C" w14:textId="2346BBA9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、</w:t>
            </w:r>
            <w:r w:rsidR="004A28AE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公司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主要生产基地布局</w:t>
            </w:r>
            <w:r w:rsidR="004A28AE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和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近年产能扩张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调整计划</w:t>
            </w:r>
            <w:r w:rsidR="004A28AE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如何</w:t>
            </w:r>
            <w:r>
              <w:rPr>
                <w:rFonts w:hint="eastAsia"/>
                <w:lang w:eastAsia="zh-CN"/>
              </w:rPr>
              <w:t>？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关键原材料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部件的供应商集中度、采购成本波动及供应链稳定性如何？</w:t>
            </w:r>
            <w:r w:rsidR="004A28AE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现在的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生产成本结构</w:t>
            </w:r>
            <w:r w:rsidR="004A28AE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是什么？相关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控制措施</w:t>
            </w:r>
            <w:r w:rsidR="004A28AE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有哪些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？</w:t>
            </w:r>
          </w:p>
          <w:p w14:paraId="566ED613" w14:textId="54CC953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答：公司生产基地采用国内外协同布局的策略</w:t>
            </w:r>
            <w:r w:rsidR="004A28AE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。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国内生产基地聚焦核心产品的规模化生产</w:t>
            </w:r>
            <w:r w:rsidR="004A28AE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、产品相关的技术研发支持，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为全球市场供应提供稳定支撑。</w:t>
            </w:r>
            <w:r w:rsidR="004A28AE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国外布局目前</w:t>
            </w:r>
            <w:r w:rsidR="004A28AE" w:rsidRPr="004A28AE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墨西哥生产基地已按客户需求启动小批量供货，相关业务正在推进，后续将根据订单增长情况及市场拓展进度，动态优化产能配置、逐步提升产能利用率；</w:t>
            </w:r>
          </w:p>
          <w:p w14:paraId="75178173" w14:textId="1DC6D61A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公司核心原材料以硅钢钢材为主，采购渠道覆盖多家国内大型钢厂及钢材贸易商，通过多源化供应商选择分散供应风险，保障供应链稳定。在采购环节，公司采用“以销定产”模式，紧密结合在手订单、潜在客户需求、产品交付周期、钢材市场价格波动趋势及现有库存水平，制定灵活的采购计划，以此平抑原材料价格波动对采购成本的影响，进一步强化供应链韧性。</w:t>
            </w:r>
          </w:p>
          <w:p w14:paraId="7E14D1B5" w14:textId="24CA9A1C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公司生产成本主要由原材料成本、生产制造费用及人工成本构成，其中原材料成本</w:t>
            </w:r>
            <w:proofErr w:type="gramStart"/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占比较</w:t>
            </w:r>
            <w:proofErr w:type="gramEnd"/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高。为有效控制成本，公司实施以下措施</w:t>
            </w:r>
            <w:r w:rsidR="00955ACC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（包括但不限）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：</w:t>
            </w:r>
          </w:p>
          <w:p w14:paraId="5E923741" w14:textId="70106B00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）推行以销定产的生产模式，根据客户</w:t>
            </w:r>
            <w:r w:rsidR="004A28AE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预测</w:t>
            </w:r>
            <w:r w:rsidR="00703B1C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或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订单安排生产计划，</w:t>
            </w:r>
            <w:r w:rsidR="00703B1C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指导生产任务，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减少</w:t>
            </w:r>
            <w:r w:rsidR="00703B1C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半成品、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成品及原材料库存积压，降低资金占用成本；</w:t>
            </w:r>
          </w:p>
          <w:p w14:paraId="4BE46844" w14:textId="1C51A8EC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）</w:t>
            </w:r>
            <w:r w:rsidR="00955ACC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提高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原材料</w:t>
            </w:r>
            <w:r w:rsidR="00955ACC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供应</w:t>
            </w:r>
            <w:proofErr w:type="gramStart"/>
            <w:r w:rsidR="00955ACC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商管理</w:t>
            </w:r>
            <w:proofErr w:type="gramEnd"/>
            <w:r w:rsidR="00955ACC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水平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，</w:t>
            </w:r>
            <w:r w:rsidR="00955ACC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与重点钢厂保持战略合作关系，</w:t>
            </w:r>
            <w:r w:rsidR="000466CB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同钢厂就</w:t>
            </w:r>
            <w:r w:rsidR="00955ACC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前沿工艺与新材料进行合作开发</w:t>
            </w:r>
            <w:r w:rsidR="002E54DA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，</w:t>
            </w:r>
            <w:r w:rsidR="000466CB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争取批量采购原材料的价格政策，同时开发合适的钢材贸易商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；</w:t>
            </w:r>
          </w:p>
          <w:p w14:paraId="0F7A6736" w14:textId="59362651" w:rsidR="002E54DA" w:rsidRDefault="002E54D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）通过提高模具管理水平</w:t>
            </w:r>
            <w:r w:rsidR="000466CB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和</w:t>
            </w:r>
            <w:proofErr w:type="gramStart"/>
            <w:r w:rsidR="000466CB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生产制程工艺</w:t>
            </w:r>
            <w:proofErr w:type="gramEnd"/>
            <w:r w:rsidR="000466CB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水平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，</w:t>
            </w:r>
            <w:r w:rsidR="000466CB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提高材料利用率与生产效率；</w:t>
            </w:r>
          </w:p>
          <w:p w14:paraId="6950AB6F" w14:textId="5226DEFC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（</w:t>
            </w:r>
            <w:r w:rsidR="002E54DA"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）</w:t>
            </w:r>
            <w:r w:rsidR="00955ACC"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  <w:t>提高公司半自动化和自动化水平，合理控制直接人工成本，提高生产效率。</w:t>
            </w:r>
            <w:bookmarkStart w:id="0" w:name="_GoBack"/>
            <w:bookmarkEnd w:id="0"/>
          </w:p>
          <w:p w14:paraId="52DD3E01" w14:textId="77777777" w:rsidR="00957F71" w:rsidRDefault="00957F71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</w:p>
          <w:p w14:paraId="3082E2DE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、公司对稳定股价、市值管理维护有什么想法？</w:t>
            </w:r>
          </w:p>
          <w:p w14:paraId="676F66C1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答：公司高度重视市值管理工作，并已制定明确的股价稳定预案。公司始终密切关注市场反馈，持续优化经营策略，加强投资者沟通，并通过稳健业绩为股东创造长期价值。同时，公司严格遵循信息披露准则，确保信息传递的及时性、准确性和完整性。</w:t>
            </w:r>
          </w:p>
          <w:p w14:paraId="0474238D" w14:textId="77777777" w:rsidR="00957F71" w:rsidRDefault="00957F71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</w:p>
          <w:p w14:paraId="54C53126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、公司产品能否用于机器人（特别是人形机器人），是否有相关的客户接触，送样和认证工作？</w:t>
            </w:r>
          </w:p>
          <w:p w14:paraId="70602FDA" w14:textId="019D79D5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答：公司铁芯产品下游应用广阔，可应用于机器人关节等相关部位的电机。在业务推进层面，公司已针对机器人相关应用方向开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lastRenderedPageBreak/>
              <w:t>展送样工作，不过现阶段该部分业务规模较小，尚未对公司整体业绩产生显著影响。基于客户保密相关要求，具体客户信息暂不便披露，敬请谅解。公司将持续跟进相关市场需求，积极推动产品在该领域的应用拓展。</w:t>
            </w:r>
          </w:p>
          <w:p w14:paraId="0726EFA4" w14:textId="77777777" w:rsidR="00957F71" w:rsidRDefault="00957F71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</w:p>
          <w:p w14:paraId="6A307163" w14:textId="69E3D24E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、近年主要的资本开支投向（如扩产、技改、研发等）？</w:t>
            </w:r>
          </w:p>
          <w:p w14:paraId="2EE5E8B7" w14:textId="71948C99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答：近年</w:t>
            </w:r>
            <w:r w:rsidR="00703B1C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资本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开支主要根据</w:t>
            </w:r>
            <w:proofErr w:type="gramStart"/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募投项目</w:t>
            </w:r>
            <w:proofErr w:type="gramEnd"/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规划购置机器设备、厂房车间改扩建、研发创新投入等。</w:t>
            </w:r>
          </w:p>
          <w:p w14:paraId="695FDE80" w14:textId="77777777" w:rsidR="00957F71" w:rsidRDefault="00957F71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</w:p>
          <w:p w14:paraId="5F87A9B4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、公司在精密冲压铁芯领域的渗透率及排名是否发生较大变化？如何看待后续的行业发展，主要增长来自哪些原因？</w:t>
            </w:r>
          </w:p>
          <w:p w14:paraId="4B61869E" w14:textId="6981393B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答：公司在精密冲压铁芯领域的渗透率及排名暂未发生较大变化。公司将持续聚焦产品品质提升与技术迭代，稳固现有市场地位。</w:t>
            </w:r>
            <w:r w:rsidR="00703B1C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公司发展战略为</w:t>
            </w:r>
            <w:r w:rsidR="00703B1C" w:rsidRPr="00703B1C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以硅钢精密冲压产品业务为基础，拓展精密冲压铁芯应用领域及后</w:t>
            </w:r>
            <w:proofErr w:type="gramStart"/>
            <w:r w:rsidR="00703B1C" w:rsidRPr="00703B1C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道加工</w:t>
            </w:r>
            <w:proofErr w:type="gramEnd"/>
            <w:r w:rsidR="00703B1C" w:rsidRPr="00703B1C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业务，与产业链上下游紧密合作，并形成以点带面的发展战略</w:t>
            </w:r>
            <w:r w:rsidR="00703B1C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。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我们认为精密冲压铁芯</w:t>
            </w:r>
            <w:r w:rsidR="00703B1C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及其相关下游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行业发展</w:t>
            </w:r>
            <w:r w:rsidR="00955ACC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趋势和增长原因分析如</w:t>
            </w:r>
            <w:r w:rsidR="00815003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下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：</w:t>
            </w:r>
          </w:p>
          <w:p w14:paraId="3C16B0DF" w14:textId="0CAF6CD4" w:rsidR="00957F71" w:rsidRDefault="00815003">
            <w:pPr>
              <w:pStyle w:val="TableParagraph"/>
              <w:numPr>
                <w:ilvl w:val="0"/>
                <w:numId w:val="2"/>
              </w:numPr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公司现有产品主要应用于电机，</w:t>
            </w:r>
            <w:r w:rsidR="002339BE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电机是汽车、工业工控、家电、电动工具等基础领域的核心动力部件，通用性极强。在制造业转型升级及绿色经济导向下，下游领域对电机便携性、高效性、节能性的要求持续提升，直接拉动电机行业扩容，为精密冲压行业奠定良好市场基础。</w:t>
            </w:r>
          </w:p>
          <w:p w14:paraId="5B9E10EF" w14:textId="3C3554DD" w:rsidR="00957F71" w:rsidRDefault="002339BE">
            <w:pPr>
              <w:pStyle w:val="TableParagraph"/>
              <w:numPr>
                <w:ilvl w:val="0"/>
                <w:numId w:val="2"/>
              </w:numPr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人形机器人、低空飞行器等新兴领域为电机产品开辟了高增长赛道，更给精密冲压行业带来广阔增量空间。其中，人形机器人的关节驱动、躯干控制等核心部位需搭载大量高精密、小型化电机；低空飞行器（含工业无人机、消费级无人机、轻型直升机等）</w:t>
            </w:r>
            <w:proofErr w:type="gramStart"/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的飞控系统</w:t>
            </w:r>
            <w:proofErr w:type="gramEnd"/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、动力系统同样依赖高性能电机，随着低空开放政策落地及应用场景从物流配送、电力巡检向农业植保、应急救援等领域延伸，电机需求将持续增长。这类新兴领域的技术迭代速度快、市场渗透率正处于快速提升阶段，其对高规格电机的规模化需求，将直接带动精密冲压铁芯等核心部件的需求与技术升级，成为行业未来重要的增长引擎。</w:t>
            </w:r>
          </w:p>
          <w:p w14:paraId="6ED09EB2" w14:textId="78164E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）我国已成为全球主要电机生产基地，国际电机行业分工深化为国内电机铁芯制造企业带来机遇。目前，电机厂商将定转子铁芯生产外包给专业企业已成行业趋势，这不仅为精密冲压行业带来新增需求，更倒</w:t>
            </w:r>
            <w:proofErr w:type="gramStart"/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逼行业</w:t>
            </w:r>
            <w:proofErr w:type="gramEnd"/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企业提升专业化生产能力与综合服务水平，推动行业稳定健康发展。</w:t>
            </w:r>
          </w:p>
          <w:p w14:paraId="0B2A8AC0" w14:textId="77777777" w:rsidR="00957F71" w:rsidRDefault="00957F71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</w:p>
          <w:p w14:paraId="4672AE91" w14:textId="77777777" w:rsidR="00957F71" w:rsidRDefault="00957F71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hAnsi="Times New Roman Regular" w:cs="Times New Roman Regular" w:hint="eastAsia"/>
                <w:sz w:val="24"/>
                <w:szCs w:val="24"/>
                <w:lang w:eastAsia="zh-CN"/>
              </w:rPr>
            </w:pPr>
          </w:p>
          <w:p w14:paraId="79BA9F19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风险提示：以上如涉及对行业预测、公司发展战略和经营计划等相关内容，不能视作公司或公司管理层对行业、公司发展或业绩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lastRenderedPageBreak/>
              <w:t>的承诺和保证，敬请广大投资者注意投资风险。</w:t>
            </w:r>
          </w:p>
        </w:tc>
      </w:tr>
      <w:tr w:rsidR="00957F71" w14:paraId="5CF6DF66" w14:textId="77777777">
        <w:trPr>
          <w:trHeight w:val="829"/>
        </w:trPr>
        <w:tc>
          <w:tcPr>
            <w:tcW w:w="1592" w:type="dxa"/>
            <w:vAlign w:val="center"/>
          </w:tcPr>
          <w:p w14:paraId="0221A529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</w:rPr>
            </w:pP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lastRenderedPageBreak/>
              <w:t>附件清单（如有</w:t>
            </w:r>
            <w:proofErr w:type="spell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）</w:t>
            </w:r>
          </w:p>
        </w:tc>
        <w:tc>
          <w:tcPr>
            <w:tcW w:w="6908" w:type="dxa"/>
            <w:vAlign w:val="center"/>
          </w:tcPr>
          <w:p w14:paraId="5FC9D4D5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无</w:t>
            </w:r>
          </w:p>
        </w:tc>
      </w:tr>
      <w:tr w:rsidR="00957F71" w14:paraId="7C08A225" w14:textId="77777777">
        <w:trPr>
          <w:trHeight w:val="697"/>
        </w:trPr>
        <w:tc>
          <w:tcPr>
            <w:tcW w:w="1592" w:type="dxa"/>
            <w:vAlign w:val="center"/>
          </w:tcPr>
          <w:p w14:paraId="05E52BBE" w14:textId="77777777" w:rsidR="00957F71" w:rsidRDefault="002339BE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</w:rPr>
            </w:pP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6908" w:type="dxa"/>
            <w:vAlign w:val="center"/>
          </w:tcPr>
          <w:p w14:paraId="43CBC9C7" w14:textId="7418FFED" w:rsidR="00957F71" w:rsidRDefault="002339BE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2025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年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12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月</w:t>
            </w:r>
            <w:r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汇总</w:t>
            </w:r>
          </w:p>
        </w:tc>
      </w:tr>
    </w:tbl>
    <w:p w14:paraId="259F11F0" w14:textId="77777777" w:rsidR="00957F71" w:rsidRDefault="00957F7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14:paraId="368E2C81" w14:textId="77777777" w:rsidR="00957F71" w:rsidRDefault="00957F71">
      <w:pPr>
        <w:spacing w:line="310" w:lineRule="atLeast"/>
        <w:rPr>
          <w:sz w:val="24"/>
          <w:szCs w:val="24"/>
          <w:lang w:eastAsia="zh-CN"/>
        </w:rPr>
      </w:pPr>
    </w:p>
    <w:p w14:paraId="4EC90096" w14:textId="77777777" w:rsidR="00957F71" w:rsidRDefault="00957F71">
      <w:pPr>
        <w:rPr>
          <w:sz w:val="24"/>
          <w:szCs w:val="24"/>
        </w:rPr>
      </w:pPr>
    </w:p>
    <w:sectPr w:rsidR="00957F71">
      <w:pgSz w:w="11910" w:h="16840"/>
      <w:pgMar w:top="1420" w:right="1560" w:bottom="993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2F6D5" w14:textId="77777777" w:rsidR="0098667D" w:rsidRDefault="0098667D" w:rsidP="006A6E09">
      <w:r>
        <w:separator/>
      </w:r>
    </w:p>
  </w:endnote>
  <w:endnote w:type="continuationSeparator" w:id="0">
    <w:p w14:paraId="2DB671E1" w14:textId="77777777" w:rsidR="0098667D" w:rsidRDefault="0098667D" w:rsidP="006A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F814F" w14:textId="77777777" w:rsidR="0098667D" w:rsidRDefault="0098667D" w:rsidP="006A6E09">
      <w:r>
        <w:separator/>
      </w:r>
    </w:p>
  </w:footnote>
  <w:footnote w:type="continuationSeparator" w:id="0">
    <w:p w14:paraId="64A42FD7" w14:textId="77777777" w:rsidR="0098667D" w:rsidRDefault="0098667D" w:rsidP="006A6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CBCACA8"/>
    <w:multiLevelType w:val="singleLevel"/>
    <w:tmpl w:val="DCBCACA8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FEF22E2"/>
    <w:multiLevelType w:val="singleLevel"/>
    <w:tmpl w:val="FFEF22E2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35E"/>
    <w:rsid w:val="DD7EC383"/>
    <w:rsid w:val="DF8729F8"/>
    <w:rsid w:val="DFFBF284"/>
    <w:rsid w:val="FEFBB9FC"/>
    <w:rsid w:val="00001A38"/>
    <w:rsid w:val="0004548C"/>
    <w:rsid w:val="000466CB"/>
    <w:rsid w:val="00066E80"/>
    <w:rsid w:val="0009256B"/>
    <w:rsid w:val="000E5EDF"/>
    <w:rsid w:val="001A579A"/>
    <w:rsid w:val="001C0DF0"/>
    <w:rsid w:val="001C6B56"/>
    <w:rsid w:val="001E17E5"/>
    <w:rsid w:val="00212510"/>
    <w:rsid w:val="002315C9"/>
    <w:rsid w:val="002323CA"/>
    <w:rsid w:val="002339BE"/>
    <w:rsid w:val="002A0760"/>
    <w:rsid w:val="002C721F"/>
    <w:rsid w:val="002E54DA"/>
    <w:rsid w:val="00302211"/>
    <w:rsid w:val="003C7E44"/>
    <w:rsid w:val="003E5351"/>
    <w:rsid w:val="00403A2B"/>
    <w:rsid w:val="00404341"/>
    <w:rsid w:val="00440479"/>
    <w:rsid w:val="00441207"/>
    <w:rsid w:val="004414C9"/>
    <w:rsid w:val="004A28AE"/>
    <w:rsid w:val="00544936"/>
    <w:rsid w:val="00553A88"/>
    <w:rsid w:val="00567F6D"/>
    <w:rsid w:val="005A148F"/>
    <w:rsid w:val="005A36D0"/>
    <w:rsid w:val="005A523F"/>
    <w:rsid w:val="005A651B"/>
    <w:rsid w:val="005E51EE"/>
    <w:rsid w:val="00655812"/>
    <w:rsid w:val="00683BE8"/>
    <w:rsid w:val="006A235E"/>
    <w:rsid w:val="006A6E09"/>
    <w:rsid w:val="006B3D01"/>
    <w:rsid w:val="006E59E3"/>
    <w:rsid w:val="00703B1C"/>
    <w:rsid w:val="0070724F"/>
    <w:rsid w:val="0073498C"/>
    <w:rsid w:val="007A68A8"/>
    <w:rsid w:val="007B3976"/>
    <w:rsid w:val="007B690B"/>
    <w:rsid w:val="007F5459"/>
    <w:rsid w:val="00815003"/>
    <w:rsid w:val="00815BF7"/>
    <w:rsid w:val="0085288C"/>
    <w:rsid w:val="00852BE5"/>
    <w:rsid w:val="008C11D2"/>
    <w:rsid w:val="008E37EA"/>
    <w:rsid w:val="00955ACC"/>
    <w:rsid w:val="00957F71"/>
    <w:rsid w:val="009859FE"/>
    <w:rsid w:val="0098667D"/>
    <w:rsid w:val="009E4BF6"/>
    <w:rsid w:val="00A102B4"/>
    <w:rsid w:val="00A11F10"/>
    <w:rsid w:val="00A90B41"/>
    <w:rsid w:val="00AE22A1"/>
    <w:rsid w:val="00AE5A76"/>
    <w:rsid w:val="00B25EAD"/>
    <w:rsid w:val="00B95B2A"/>
    <w:rsid w:val="00C91E14"/>
    <w:rsid w:val="00C97B08"/>
    <w:rsid w:val="00CF4ADC"/>
    <w:rsid w:val="00D00A94"/>
    <w:rsid w:val="00D01464"/>
    <w:rsid w:val="00D3184F"/>
    <w:rsid w:val="00D35053"/>
    <w:rsid w:val="00D41353"/>
    <w:rsid w:val="00D53669"/>
    <w:rsid w:val="00DF65CC"/>
    <w:rsid w:val="00E76FED"/>
    <w:rsid w:val="00F31F45"/>
    <w:rsid w:val="00F739FC"/>
    <w:rsid w:val="00F768C8"/>
    <w:rsid w:val="4EFDD498"/>
    <w:rsid w:val="5EF7DED0"/>
    <w:rsid w:val="6BFF6601"/>
    <w:rsid w:val="6FFDD8C1"/>
    <w:rsid w:val="71EBF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C7342"/>
  <w15:docId w15:val="{CB358BD8-9DAB-426E-B7DB-B094E8B2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"/>
      <w:ind w:left="108" w:right="950"/>
      <w:jc w:val="center"/>
    </w:pPr>
  </w:style>
  <w:style w:type="character" w:customStyle="1" w:styleId="ab">
    <w:name w:val="页眉 字符"/>
    <w:basedOn w:val="a0"/>
    <w:link w:val="aa"/>
    <w:uiPriority w:val="99"/>
    <w:rPr>
      <w:rFonts w:ascii="宋体" w:eastAsia="宋体" w:hAnsi="宋体" w:cs="宋体"/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rFonts w:ascii="宋体" w:eastAsia="宋体" w:hAnsi="宋体" w:cs="宋体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宋体" w:eastAsia="宋体" w:hAnsi="宋体" w:cs="宋体"/>
    </w:rPr>
  </w:style>
  <w:style w:type="character" w:customStyle="1" w:styleId="ad">
    <w:name w:val="批注主题 字符"/>
    <w:basedOn w:val="a4"/>
    <w:link w:val="ac"/>
    <w:uiPriority w:val="99"/>
    <w:semiHidden/>
    <w:rPr>
      <w:rFonts w:ascii="宋体" w:eastAsia="宋体" w:hAnsi="宋体" w:cs="宋体"/>
      <w:b/>
      <w:bCs/>
    </w:rPr>
  </w:style>
  <w:style w:type="character" w:customStyle="1" w:styleId="a7">
    <w:name w:val="批注框文本 字符"/>
    <w:basedOn w:val="a0"/>
    <w:link w:val="a6"/>
    <w:uiPriority w:val="99"/>
    <w:semiHidden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5F61192D-3ECC-4520-8C5B-79BBF157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hrr</cp:lastModifiedBy>
  <cp:revision>7</cp:revision>
  <dcterms:created xsi:type="dcterms:W3CDTF">2026-01-15T08:54:00Z</dcterms:created>
  <dcterms:modified xsi:type="dcterms:W3CDTF">2026-01-16T09:01:00Z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2025-09-17T00:00:00Z</vt:filetime>
  </property>
  <property fmtid="{D5CDD505-2E9C-101B-9397-08002B2CF9AE}" pid="5" name="KSOProductBuildVer">
    <vt:lpwstr>2052-7.3.1.8967</vt:lpwstr>
  </property>
  <property fmtid="{D5CDD505-2E9C-101B-9397-08002B2CF9AE}" pid="6" name="ICV">
    <vt:lpwstr>AAB6F8B57CD40379FB916869960CC9D4_43</vt:lpwstr>
  </property>
</Properties>
</file>