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62FC36">
      <w:pPr>
        <w:adjustRightInd w:val="0"/>
        <w:snapToGrid w:val="0"/>
        <w:jc w:val="left"/>
        <w:rPr>
          <w:rFonts w:eastAsia="仿宋"/>
          <w:sz w:val="24"/>
          <w:szCs w:val="24"/>
        </w:rPr>
      </w:pPr>
      <w:r>
        <w:rPr>
          <w:rFonts w:eastAsia="仿宋"/>
          <w:sz w:val="24"/>
          <w:szCs w:val="24"/>
        </w:rPr>
        <w:t>证券代码：603517                                   证券简称：绝味食品</w:t>
      </w:r>
    </w:p>
    <w:p w14:paraId="6A82D413">
      <w:pPr>
        <w:adjustRightInd w:val="0"/>
        <w:snapToGrid w:val="0"/>
        <w:ind w:firstLine="640" w:firstLineChars="200"/>
        <w:jc w:val="left"/>
        <w:rPr>
          <w:rFonts w:eastAsia="仿宋"/>
          <w:sz w:val="32"/>
          <w:szCs w:val="32"/>
        </w:rPr>
      </w:pPr>
    </w:p>
    <w:p w14:paraId="2F582DA6">
      <w:pPr>
        <w:snapToGrid w:val="0"/>
        <w:spacing w:line="360" w:lineRule="auto"/>
        <w:jc w:val="center"/>
        <w:rPr>
          <w:rFonts w:eastAsia="仿宋"/>
          <w:b/>
          <w:bCs/>
          <w:color w:val="FF0000"/>
          <w:sz w:val="32"/>
          <w:szCs w:val="32"/>
        </w:rPr>
      </w:pPr>
      <w:r>
        <w:rPr>
          <w:rFonts w:eastAsia="仿宋"/>
          <w:b/>
          <w:bCs/>
          <w:color w:val="FF0000"/>
          <w:sz w:val="32"/>
          <w:szCs w:val="32"/>
        </w:rPr>
        <w:t>绝味食品股份有限公司</w:t>
      </w:r>
    </w:p>
    <w:p w14:paraId="33832A15">
      <w:pPr>
        <w:autoSpaceDE w:val="0"/>
        <w:autoSpaceDN w:val="0"/>
        <w:adjustRightInd w:val="0"/>
        <w:snapToGrid w:val="0"/>
        <w:spacing w:line="360" w:lineRule="auto"/>
        <w:jc w:val="center"/>
        <w:rPr>
          <w:rFonts w:eastAsia="仿宋"/>
          <w:color w:val="000000"/>
          <w:sz w:val="24"/>
          <w:szCs w:val="24"/>
        </w:rPr>
      </w:pPr>
      <w:r>
        <w:rPr>
          <w:rFonts w:hint="eastAsia" w:eastAsia="仿宋"/>
          <w:b/>
          <w:bCs/>
          <w:color w:val="FF0000"/>
          <w:sz w:val="30"/>
          <w:szCs w:val="30"/>
        </w:rPr>
        <w:t>投资者关系活动记录表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6297"/>
      </w:tblGrid>
      <w:tr w14:paraId="53FF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6902E86F">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w:t>
            </w:r>
          </w:p>
          <w:p w14:paraId="2961BF5D">
            <w:pPr>
              <w:adjustRightInd w:val="0"/>
              <w:snapToGrid w:val="0"/>
              <w:spacing w:line="360" w:lineRule="auto"/>
              <w:jc w:val="center"/>
              <w:rPr>
                <w:rFonts w:eastAsia="仿宋"/>
                <w:color w:val="000000"/>
                <w:sz w:val="24"/>
                <w:szCs w:val="24"/>
              </w:rPr>
            </w:pPr>
            <w:r>
              <w:rPr>
                <w:rFonts w:hint="eastAsia" w:eastAsia="仿宋"/>
                <w:color w:val="000000"/>
                <w:sz w:val="24"/>
                <w:szCs w:val="24"/>
              </w:rPr>
              <w:t>活动类别</w:t>
            </w:r>
          </w:p>
        </w:tc>
        <w:tc>
          <w:tcPr>
            <w:tcW w:w="6297" w:type="dxa"/>
            <w:vAlign w:val="center"/>
          </w:tcPr>
          <w:p w14:paraId="2C372A0C">
            <w:pPr>
              <w:adjustRightInd w:val="0"/>
              <w:snapToGrid w:val="0"/>
              <w:spacing w:line="360" w:lineRule="auto"/>
              <w:jc w:val="center"/>
              <w:rPr>
                <w:rFonts w:eastAsia="仿宋"/>
                <w:color w:val="000000"/>
                <w:sz w:val="24"/>
                <w:szCs w:val="24"/>
              </w:rPr>
            </w:pPr>
            <w:r>
              <w:rPr>
                <w:rFonts w:hint="eastAsia" w:eastAsia="仿宋"/>
                <w:color w:val="000000"/>
                <w:sz w:val="24"/>
                <w:szCs w:val="24"/>
                <w:lang w:eastAsia="zh-CN"/>
              </w:rPr>
              <w:t>☑</w:t>
            </w:r>
            <w:r>
              <w:rPr>
                <w:rFonts w:hint="eastAsia" w:eastAsia="仿宋"/>
                <w:color w:val="000000"/>
                <w:sz w:val="24"/>
                <w:szCs w:val="24"/>
              </w:rPr>
              <w:t xml:space="preserve"> 特定对象调研   </w:t>
            </w:r>
            <w:r>
              <w:rPr>
                <w:rFonts w:hint="eastAsia" w:eastAsia="仿宋"/>
                <w:color w:val="000000"/>
                <w:sz w:val="24"/>
                <w:szCs w:val="24"/>
                <w:lang w:eastAsia="zh-CN"/>
              </w:rPr>
              <w:t>□</w:t>
            </w:r>
            <w:r>
              <w:rPr>
                <w:rFonts w:hint="eastAsia" w:eastAsia="仿宋"/>
                <w:color w:val="000000"/>
                <w:sz w:val="24"/>
                <w:szCs w:val="24"/>
              </w:rPr>
              <w:t xml:space="preserve"> 业绩说明会   □ 媒体采访</w:t>
            </w:r>
          </w:p>
          <w:p w14:paraId="4EA7C90D">
            <w:pPr>
              <w:adjustRightInd w:val="0"/>
              <w:snapToGrid w:val="0"/>
              <w:spacing w:line="360" w:lineRule="auto"/>
              <w:jc w:val="center"/>
              <w:rPr>
                <w:rFonts w:eastAsia="仿宋"/>
                <w:color w:val="000000"/>
                <w:sz w:val="24"/>
                <w:szCs w:val="24"/>
              </w:rPr>
            </w:pPr>
            <w:r>
              <w:rPr>
                <w:rFonts w:hint="eastAsia" w:eastAsia="仿宋"/>
                <w:color w:val="000000"/>
                <w:sz w:val="24"/>
                <w:szCs w:val="24"/>
              </w:rPr>
              <w:t>□ 现场参观   □ 新闻发布会   □ 分析师会议</w:t>
            </w:r>
          </w:p>
          <w:p w14:paraId="2AAC0D22">
            <w:pPr>
              <w:adjustRightInd w:val="0"/>
              <w:snapToGrid w:val="0"/>
              <w:spacing w:line="360" w:lineRule="auto"/>
              <w:jc w:val="center"/>
              <w:rPr>
                <w:rFonts w:eastAsia="仿宋"/>
                <w:color w:val="000000"/>
                <w:sz w:val="24"/>
                <w:szCs w:val="24"/>
              </w:rPr>
            </w:pPr>
            <w:r>
              <w:rPr>
                <w:rFonts w:hint="eastAsia" w:eastAsia="仿宋"/>
                <w:color w:val="000000"/>
                <w:sz w:val="24"/>
                <w:szCs w:val="24"/>
              </w:rPr>
              <w:t xml:space="preserve">□ 路演活动    </w:t>
            </w:r>
            <w:r>
              <w:rPr>
                <w:rFonts w:hint="eastAsia" w:eastAsia="仿宋"/>
                <w:color w:val="000000"/>
                <w:sz w:val="24"/>
                <w:szCs w:val="24"/>
                <w:lang w:eastAsia="zh-CN"/>
              </w:rPr>
              <w:t>□</w:t>
            </w:r>
            <w:r>
              <w:rPr>
                <w:rFonts w:hint="eastAsia" w:eastAsia="仿宋"/>
                <w:color w:val="000000"/>
                <w:sz w:val="24"/>
                <w:szCs w:val="24"/>
              </w:rPr>
              <w:t xml:space="preserve"> 其他</w:t>
            </w:r>
          </w:p>
        </w:tc>
      </w:tr>
      <w:tr w14:paraId="45F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7694C6E">
            <w:pPr>
              <w:adjustRightInd w:val="0"/>
              <w:snapToGrid w:val="0"/>
              <w:spacing w:line="360" w:lineRule="auto"/>
              <w:jc w:val="center"/>
              <w:rPr>
                <w:rFonts w:eastAsia="仿宋"/>
                <w:color w:val="000000"/>
                <w:sz w:val="24"/>
                <w:szCs w:val="24"/>
              </w:rPr>
            </w:pPr>
            <w:r>
              <w:rPr>
                <w:rFonts w:hint="eastAsia" w:eastAsia="仿宋"/>
                <w:color w:val="000000"/>
                <w:sz w:val="24"/>
                <w:szCs w:val="24"/>
              </w:rPr>
              <w:t>参与单位/个人名称</w:t>
            </w:r>
          </w:p>
        </w:tc>
        <w:tc>
          <w:tcPr>
            <w:tcW w:w="6297" w:type="dxa"/>
            <w:vAlign w:val="center"/>
          </w:tcPr>
          <w:p w14:paraId="3CA35D7D">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宝盈基金、财信基金、国投证券、深圳杉树资产、羊角基金、招商基金、浙商证券、紫阁投资</w:t>
            </w:r>
          </w:p>
        </w:tc>
      </w:tr>
      <w:tr w14:paraId="2FC7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3B065E4">
            <w:pPr>
              <w:adjustRightInd w:val="0"/>
              <w:snapToGrid w:val="0"/>
              <w:spacing w:line="360" w:lineRule="auto"/>
              <w:jc w:val="center"/>
              <w:rPr>
                <w:rFonts w:eastAsia="仿宋"/>
                <w:color w:val="000000"/>
                <w:sz w:val="24"/>
                <w:szCs w:val="24"/>
              </w:rPr>
            </w:pPr>
            <w:r>
              <w:rPr>
                <w:rFonts w:hint="eastAsia" w:eastAsia="仿宋"/>
                <w:color w:val="000000"/>
                <w:sz w:val="24"/>
                <w:szCs w:val="24"/>
              </w:rPr>
              <w:t>时间</w:t>
            </w:r>
          </w:p>
        </w:tc>
        <w:tc>
          <w:tcPr>
            <w:tcW w:w="6297" w:type="dxa"/>
            <w:vAlign w:val="center"/>
          </w:tcPr>
          <w:p w14:paraId="314F0836">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rPr>
              <w:t>202</w:t>
            </w:r>
            <w:r>
              <w:rPr>
                <w:rFonts w:hint="eastAsia" w:eastAsia="仿宋"/>
                <w:color w:val="000000"/>
                <w:sz w:val="24"/>
                <w:szCs w:val="24"/>
                <w:lang w:val="en-US" w:eastAsia="zh-CN"/>
              </w:rPr>
              <w:t>6</w:t>
            </w:r>
            <w:r>
              <w:rPr>
                <w:rFonts w:hint="eastAsia" w:eastAsia="仿宋"/>
                <w:color w:val="000000"/>
                <w:sz w:val="24"/>
                <w:szCs w:val="24"/>
              </w:rPr>
              <w:t>年</w:t>
            </w:r>
            <w:r>
              <w:rPr>
                <w:rFonts w:hint="eastAsia" w:eastAsia="仿宋"/>
                <w:color w:val="000000"/>
                <w:sz w:val="24"/>
                <w:szCs w:val="24"/>
                <w:lang w:val="en-US" w:eastAsia="zh-CN"/>
              </w:rPr>
              <w:t>1</w:t>
            </w:r>
            <w:r>
              <w:rPr>
                <w:rFonts w:hint="eastAsia" w:eastAsia="仿宋"/>
                <w:color w:val="000000"/>
                <w:sz w:val="24"/>
                <w:szCs w:val="24"/>
              </w:rPr>
              <w:t>月</w:t>
            </w:r>
            <w:r>
              <w:rPr>
                <w:rFonts w:hint="eastAsia" w:eastAsia="仿宋"/>
                <w:color w:val="000000"/>
                <w:sz w:val="24"/>
                <w:szCs w:val="24"/>
                <w:lang w:val="en-US" w:eastAsia="zh-CN"/>
              </w:rPr>
              <w:t>21</w:t>
            </w:r>
            <w:bookmarkStart w:id="0" w:name="_GoBack"/>
            <w:bookmarkEnd w:id="0"/>
            <w:r>
              <w:rPr>
                <w:rFonts w:hint="eastAsia" w:eastAsia="仿宋"/>
                <w:color w:val="000000"/>
                <w:sz w:val="24"/>
                <w:szCs w:val="24"/>
                <w:lang w:val="en-US" w:eastAsia="zh-CN"/>
              </w:rPr>
              <w:t>日</w:t>
            </w:r>
          </w:p>
        </w:tc>
      </w:tr>
      <w:tr w14:paraId="0A28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16A28D5F">
            <w:pPr>
              <w:adjustRightInd w:val="0"/>
              <w:snapToGrid w:val="0"/>
              <w:spacing w:line="360" w:lineRule="auto"/>
              <w:jc w:val="center"/>
              <w:rPr>
                <w:rFonts w:eastAsia="仿宋"/>
                <w:color w:val="000000"/>
                <w:sz w:val="24"/>
                <w:szCs w:val="24"/>
              </w:rPr>
            </w:pPr>
            <w:r>
              <w:rPr>
                <w:rFonts w:hint="eastAsia" w:eastAsia="仿宋"/>
                <w:color w:val="000000"/>
                <w:sz w:val="24"/>
                <w:szCs w:val="24"/>
              </w:rPr>
              <w:t>地点</w:t>
            </w:r>
          </w:p>
        </w:tc>
        <w:tc>
          <w:tcPr>
            <w:tcW w:w="6297" w:type="dxa"/>
            <w:vAlign w:val="center"/>
          </w:tcPr>
          <w:p w14:paraId="3F56D075">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晚报大道267号晚报大厦</w:t>
            </w:r>
          </w:p>
        </w:tc>
      </w:tr>
      <w:tr w14:paraId="2B96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9F6CA7E">
            <w:pPr>
              <w:adjustRightInd w:val="0"/>
              <w:snapToGrid w:val="0"/>
              <w:spacing w:line="360" w:lineRule="auto"/>
              <w:jc w:val="center"/>
              <w:rPr>
                <w:rFonts w:eastAsia="仿宋"/>
                <w:color w:val="000000"/>
                <w:sz w:val="24"/>
                <w:szCs w:val="24"/>
              </w:rPr>
            </w:pPr>
            <w:r>
              <w:rPr>
                <w:rFonts w:hint="eastAsia" w:eastAsia="仿宋"/>
                <w:color w:val="000000"/>
                <w:sz w:val="24"/>
                <w:szCs w:val="24"/>
              </w:rPr>
              <w:t>上市公司接待人员</w:t>
            </w:r>
          </w:p>
        </w:tc>
        <w:tc>
          <w:tcPr>
            <w:tcW w:w="6297" w:type="dxa"/>
            <w:vAlign w:val="center"/>
          </w:tcPr>
          <w:p w14:paraId="01AC89A1">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投资者关系负责人     毛琳璐</w:t>
            </w:r>
          </w:p>
        </w:tc>
      </w:tr>
      <w:tr w14:paraId="77D7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62A37B0">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投资者关系活动主要内容</w:t>
            </w:r>
          </w:p>
          <w:p w14:paraId="1676DD07">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1、ST相关事项</w:t>
            </w:r>
          </w:p>
          <w:p w14:paraId="0502A1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公司现处于“其他风险警示”期间，根据《上海证券交易所股票上市规则（2025年4月修订）》第9.8.8条“上市公司股票因第9.8.1条第一款第（七）项规定情形被实施其他风险警示后，同时符合下列条件的，可以向本所申请撤销对其股票实施的其他风险警示并披露：（一）中国证监会作出行政处罚决定书已满12个月；（二）公司已就行政处罚决定所涉事项对相应年度财务会计报告进行追溯重述。”等相关规定，公司将做好相关工作并在满足条件后争取申请撤销风险警示。</w:t>
            </w:r>
          </w:p>
          <w:p w14:paraId="095040D5">
            <w:pPr>
              <w:adjustRightInd w:val="0"/>
              <w:snapToGrid w:val="0"/>
              <w:spacing w:line="360" w:lineRule="auto"/>
              <w:ind w:firstLine="480" w:firstLineChars="200"/>
              <w:jc w:val="left"/>
              <w:rPr>
                <w:rFonts w:hint="eastAsia" w:eastAsia="仿宋"/>
                <w:color w:val="000000"/>
                <w:sz w:val="24"/>
                <w:szCs w:val="24"/>
                <w:lang w:val="en-US" w:eastAsia="zh-CN"/>
              </w:rPr>
            </w:pPr>
          </w:p>
          <w:p w14:paraId="79114BC0">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2、主营业务</w:t>
            </w:r>
          </w:p>
          <w:p w14:paraId="42D40451">
            <w:pPr>
              <w:adjustRightInd w:val="0"/>
              <w:snapToGrid w:val="0"/>
              <w:spacing w:line="360" w:lineRule="auto"/>
              <w:ind w:firstLine="480" w:firstLineChars="200"/>
              <w:jc w:val="left"/>
              <w:rPr>
                <w:rFonts w:hint="default" w:eastAsia="仿宋"/>
                <w:color w:val="000000"/>
                <w:sz w:val="24"/>
                <w:szCs w:val="24"/>
                <w:lang w:val="en-US" w:eastAsia="zh-CN"/>
              </w:rPr>
            </w:pPr>
            <w:r>
              <w:rPr>
                <w:rFonts w:hint="eastAsia" w:eastAsia="仿宋"/>
                <w:color w:val="000000"/>
                <w:sz w:val="24"/>
                <w:szCs w:val="24"/>
                <w:lang w:val="en-US" w:eastAsia="zh-CN"/>
              </w:rPr>
              <w:t>在当前变化的外部环境下，公司的门店模型、销售渠道、供应链管理体系都在做针对性地调整，同时持续加强与加盟商的沟通。公司正在积极地探索门店新模式，在区域进行试点，尝试进行突破。同时不断加快产品的创新迭代，加快新品上新节奏，优化核心产品的品质和口味稳定。</w:t>
            </w:r>
          </w:p>
          <w:p w14:paraId="6AF83338">
            <w:pPr>
              <w:adjustRightInd w:val="0"/>
              <w:snapToGrid w:val="0"/>
              <w:spacing w:line="360" w:lineRule="auto"/>
              <w:ind w:firstLine="480" w:firstLineChars="200"/>
              <w:jc w:val="left"/>
              <w:rPr>
                <w:rFonts w:hint="eastAsia" w:eastAsia="仿宋"/>
                <w:color w:val="000000"/>
                <w:sz w:val="24"/>
                <w:szCs w:val="24"/>
                <w:lang w:val="en-US" w:eastAsia="zh-CN"/>
              </w:rPr>
            </w:pPr>
          </w:p>
          <w:p w14:paraId="014B8CDF">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3、产能布局</w:t>
            </w:r>
          </w:p>
          <w:p w14:paraId="1D14EFCD">
            <w:pPr>
              <w:adjustRightInd w:val="0"/>
              <w:snapToGrid w:val="0"/>
              <w:spacing w:line="360" w:lineRule="auto"/>
              <w:ind w:firstLine="480" w:firstLineChars="20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eastAsia="仿宋"/>
                <w:color w:val="000000"/>
                <w:sz w:val="24"/>
                <w:szCs w:val="24"/>
                <w:lang w:val="en-US" w:eastAsia="zh-CN"/>
              </w:rPr>
              <w:t>目前公司在</w:t>
            </w:r>
            <w:r>
              <w:rPr>
                <w:rFonts w:hint="eastAsia" w:ascii="仿宋" w:hAnsi="仿宋" w:eastAsia="仿宋" w:cs="仿宋"/>
                <w:color w:val="000000" w:themeColor="text1"/>
                <w:sz w:val="24"/>
                <w:szCs w:val="24"/>
                <w:lang w:val="en-US" w:eastAsia="zh-CN"/>
                <w14:textFill>
                  <w14:solidFill>
                    <w14:schemeClr w14:val="tx1"/>
                  </w14:solidFill>
                </w14:textFill>
              </w:rPr>
              <w:t>研判整体的生产布局，进一步对现有的产能进行优化和调整，以匹配公司已然发生变化的新战略，即由“深耕鸭脖主业，构建美食生态”转向“聚焦卤味赛道，深耕细分需求”。</w:t>
            </w:r>
          </w:p>
          <w:p w14:paraId="32CC5736">
            <w:pPr>
              <w:adjustRightInd w:val="0"/>
              <w:snapToGrid w:val="0"/>
              <w:spacing w:line="360" w:lineRule="auto"/>
              <w:ind w:firstLine="480" w:firstLineChars="200"/>
              <w:jc w:val="left"/>
              <w:rPr>
                <w:rFonts w:hint="default" w:ascii="仿宋" w:hAnsi="仿宋" w:eastAsia="仿宋" w:cs="仿宋"/>
                <w:color w:val="000000" w:themeColor="text1"/>
                <w:sz w:val="24"/>
                <w:szCs w:val="24"/>
                <w:lang w:val="en-US" w:eastAsia="zh-CN"/>
                <w14:textFill>
                  <w14:solidFill>
                    <w14:schemeClr w14:val="tx1"/>
                  </w14:solidFill>
                </w14:textFill>
              </w:rPr>
            </w:pPr>
          </w:p>
          <w:p w14:paraId="428ED069">
            <w:pPr>
              <w:adjustRightInd w:val="0"/>
              <w:snapToGrid w:val="0"/>
              <w:spacing w:line="360" w:lineRule="auto"/>
              <w:jc w:val="left"/>
              <w:rPr>
                <w:rFonts w:hint="default" w:eastAsia="仿宋"/>
                <w:color w:val="000000"/>
                <w:sz w:val="24"/>
                <w:szCs w:val="24"/>
                <w:lang w:val="en-US" w:eastAsia="zh-CN"/>
              </w:rPr>
            </w:pPr>
            <w:r>
              <w:rPr>
                <w:rFonts w:hint="eastAsia" w:eastAsia="仿宋"/>
                <w:color w:val="000000"/>
                <w:sz w:val="24"/>
                <w:szCs w:val="24"/>
                <w:lang w:val="en-US" w:eastAsia="zh-CN"/>
              </w:rPr>
              <w:t>4、投资者回报</w:t>
            </w:r>
          </w:p>
          <w:p w14:paraId="439A789B">
            <w:pPr>
              <w:adjustRightInd w:val="0"/>
              <w:snapToGrid w:val="0"/>
              <w:spacing w:line="360" w:lineRule="auto"/>
              <w:ind w:firstLine="480" w:firstLineChars="200"/>
              <w:jc w:val="left"/>
              <w:rPr>
                <w:rFonts w:hint="default" w:eastAsia="仿宋"/>
                <w:color w:val="000000"/>
                <w:sz w:val="24"/>
                <w:szCs w:val="24"/>
                <w:lang w:val="en-US" w:eastAsia="zh-CN"/>
              </w:rPr>
            </w:pPr>
            <w:r>
              <w:rPr>
                <w:rFonts w:hint="eastAsia" w:eastAsia="仿宋"/>
                <w:color w:val="000000"/>
                <w:sz w:val="24"/>
                <w:szCs w:val="24"/>
                <w:lang w:val="en-US" w:eastAsia="zh-CN"/>
              </w:rPr>
              <w:t>公司高度重视回报投资者，也深知有效的激励机制对团队的重要性。公司将结合未来发展资金需求、现金流状况及资本市场环境等因素，实践“提质增效方案”精神，审慎研究相关方案，在合法合规的前提下，努力平衡好长期发展与股东回报的关系。</w:t>
            </w:r>
          </w:p>
          <w:p w14:paraId="5BD9495A">
            <w:pPr>
              <w:adjustRightInd w:val="0"/>
              <w:snapToGrid w:val="0"/>
              <w:spacing w:line="360" w:lineRule="auto"/>
              <w:jc w:val="left"/>
              <w:rPr>
                <w:rFonts w:hint="default" w:eastAsia="仿宋"/>
                <w:color w:val="000000"/>
                <w:sz w:val="24"/>
                <w:szCs w:val="24"/>
                <w:lang w:val="en-US" w:eastAsia="zh-CN"/>
              </w:rPr>
            </w:pPr>
          </w:p>
        </w:tc>
      </w:tr>
    </w:tbl>
    <w:p w14:paraId="29E2D6B9">
      <w:pPr>
        <w:adjustRightInd w:val="0"/>
        <w:snapToGrid w:val="0"/>
        <w:spacing w:line="360" w:lineRule="auto"/>
        <w:ind w:firstLine="480" w:firstLineChars="200"/>
        <w:jc w:val="right"/>
        <w:rPr>
          <w:rFonts w:eastAsia="仿宋"/>
          <w:color w:val="000000"/>
          <w:sz w:val="24"/>
          <w:szCs w:val="24"/>
        </w:rPr>
      </w:pPr>
    </w:p>
    <w:p w14:paraId="6B25D794">
      <w:pPr>
        <w:adjustRightInd w:val="0"/>
        <w:snapToGrid w:val="0"/>
        <w:spacing w:line="360" w:lineRule="auto"/>
        <w:ind w:firstLine="480" w:firstLineChars="200"/>
        <w:jc w:val="right"/>
        <w:rPr>
          <w:rFonts w:eastAsia="仿宋"/>
          <w:color w:val="000000"/>
          <w:sz w:val="24"/>
          <w:szCs w:val="24"/>
        </w:rPr>
      </w:pPr>
    </w:p>
    <w:p w14:paraId="4FCCD5A2">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绝味食品股份有限公司</w:t>
      </w:r>
    </w:p>
    <w:p w14:paraId="01538FE3">
      <w:pPr>
        <w:wordWrap w:val="0"/>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董</w:t>
      </w:r>
      <w:r>
        <w:rPr>
          <w:rFonts w:hint="eastAsia" w:eastAsia="仿宋"/>
          <w:color w:val="000000"/>
          <w:sz w:val="24"/>
          <w:szCs w:val="24"/>
        </w:rPr>
        <w:t xml:space="preserve">   </w:t>
      </w:r>
      <w:r>
        <w:rPr>
          <w:rFonts w:eastAsia="仿宋"/>
          <w:color w:val="000000"/>
          <w:sz w:val="24"/>
          <w:szCs w:val="24"/>
        </w:rPr>
        <w:t>事</w:t>
      </w:r>
      <w:r>
        <w:rPr>
          <w:rFonts w:hint="eastAsia" w:eastAsia="仿宋"/>
          <w:color w:val="000000"/>
          <w:sz w:val="24"/>
          <w:szCs w:val="24"/>
        </w:rPr>
        <w:t xml:space="preserve">   </w:t>
      </w:r>
      <w:r>
        <w:rPr>
          <w:rFonts w:eastAsia="仿宋"/>
          <w:color w:val="000000"/>
          <w:sz w:val="24"/>
          <w:szCs w:val="24"/>
        </w:rPr>
        <w:t>会</w:t>
      </w:r>
      <w:r>
        <w:rPr>
          <w:rFonts w:hint="eastAsia" w:eastAsia="仿宋"/>
          <w:color w:val="000000"/>
          <w:sz w:val="24"/>
          <w:szCs w:val="24"/>
        </w:rPr>
        <w:t xml:space="preserve">  </w:t>
      </w:r>
    </w:p>
    <w:p w14:paraId="062F00C9">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202</w:t>
      </w:r>
      <w:r>
        <w:rPr>
          <w:rFonts w:hint="eastAsia" w:eastAsia="仿宋"/>
          <w:color w:val="000000"/>
          <w:sz w:val="24"/>
          <w:szCs w:val="24"/>
          <w:lang w:val="en-US" w:eastAsia="zh-CN"/>
        </w:rPr>
        <w:t>6</w:t>
      </w:r>
      <w:r>
        <w:rPr>
          <w:rFonts w:eastAsia="仿宋"/>
          <w:color w:val="000000"/>
          <w:sz w:val="24"/>
          <w:szCs w:val="24"/>
        </w:rPr>
        <w:t>年</w:t>
      </w:r>
      <w:r>
        <w:rPr>
          <w:rFonts w:hint="eastAsia" w:eastAsia="仿宋"/>
          <w:color w:val="000000"/>
          <w:sz w:val="24"/>
          <w:szCs w:val="24"/>
          <w:lang w:val="en-US" w:eastAsia="zh-CN"/>
        </w:rPr>
        <w:t>1</w:t>
      </w:r>
      <w:r>
        <w:rPr>
          <w:rFonts w:eastAsia="仿宋"/>
          <w:color w:val="000000"/>
          <w:sz w:val="24"/>
          <w:szCs w:val="24"/>
        </w:rPr>
        <w:t>月</w:t>
      </w:r>
      <w:r>
        <w:rPr>
          <w:rFonts w:hint="eastAsia" w:eastAsia="仿宋"/>
          <w:color w:val="000000"/>
          <w:sz w:val="24"/>
          <w:szCs w:val="24"/>
          <w:lang w:val="en-US" w:eastAsia="zh-CN"/>
        </w:rPr>
        <w:t>22</w:t>
      </w:r>
      <w:r>
        <w:rPr>
          <w:rFonts w:eastAsia="仿宋"/>
          <w:color w:val="000000"/>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87"/>
    <w:rsid w:val="000329EF"/>
    <w:rsid w:val="00043719"/>
    <w:rsid w:val="00044666"/>
    <w:rsid w:val="00045CD7"/>
    <w:rsid w:val="00052052"/>
    <w:rsid w:val="000522CC"/>
    <w:rsid w:val="00062F4A"/>
    <w:rsid w:val="00066776"/>
    <w:rsid w:val="00072AA6"/>
    <w:rsid w:val="0007587B"/>
    <w:rsid w:val="0007630D"/>
    <w:rsid w:val="00077F6E"/>
    <w:rsid w:val="000845A9"/>
    <w:rsid w:val="000926E5"/>
    <w:rsid w:val="000A231F"/>
    <w:rsid w:val="000A4E01"/>
    <w:rsid w:val="000A5CE8"/>
    <w:rsid w:val="000A61D4"/>
    <w:rsid w:val="000B075C"/>
    <w:rsid w:val="000C4A99"/>
    <w:rsid w:val="000C4A9B"/>
    <w:rsid w:val="000C5EE0"/>
    <w:rsid w:val="000D1000"/>
    <w:rsid w:val="000D171B"/>
    <w:rsid w:val="000E1437"/>
    <w:rsid w:val="000E64F0"/>
    <w:rsid w:val="000E7C96"/>
    <w:rsid w:val="000F3817"/>
    <w:rsid w:val="000F40F4"/>
    <w:rsid w:val="000F5488"/>
    <w:rsid w:val="000F6C23"/>
    <w:rsid w:val="0010191C"/>
    <w:rsid w:val="00113879"/>
    <w:rsid w:val="001273FB"/>
    <w:rsid w:val="00130979"/>
    <w:rsid w:val="00142368"/>
    <w:rsid w:val="00152420"/>
    <w:rsid w:val="00155E47"/>
    <w:rsid w:val="00156C4E"/>
    <w:rsid w:val="00161B87"/>
    <w:rsid w:val="0016425D"/>
    <w:rsid w:val="001657D5"/>
    <w:rsid w:val="00172A27"/>
    <w:rsid w:val="001774A4"/>
    <w:rsid w:val="0018302F"/>
    <w:rsid w:val="00185153"/>
    <w:rsid w:val="001B0EA9"/>
    <w:rsid w:val="001C17EB"/>
    <w:rsid w:val="001C417C"/>
    <w:rsid w:val="001E4ECA"/>
    <w:rsid w:val="001E5EEA"/>
    <w:rsid w:val="002010F2"/>
    <w:rsid w:val="002146FD"/>
    <w:rsid w:val="0023378C"/>
    <w:rsid w:val="0023517A"/>
    <w:rsid w:val="00235732"/>
    <w:rsid w:val="00260D7A"/>
    <w:rsid w:val="00261257"/>
    <w:rsid w:val="002620E5"/>
    <w:rsid w:val="002620F3"/>
    <w:rsid w:val="002648FA"/>
    <w:rsid w:val="00266273"/>
    <w:rsid w:val="00271BB5"/>
    <w:rsid w:val="00272215"/>
    <w:rsid w:val="002753CC"/>
    <w:rsid w:val="00276549"/>
    <w:rsid w:val="00286652"/>
    <w:rsid w:val="002A15B6"/>
    <w:rsid w:val="002A4384"/>
    <w:rsid w:val="002A565F"/>
    <w:rsid w:val="002A569D"/>
    <w:rsid w:val="002C3C03"/>
    <w:rsid w:val="002C3C26"/>
    <w:rsid w:val="002C4153"/>
    <w:rsid w:val="002C6C25"/>
    <w:rsid w:val="002D065D"/>
    <w:rsid w:val="002D75A1"/>
    <w:rsid w:val="002E19EB"/>
    <w:rsid w:val="002E63E7"/>
    <w:rsid w:val="002F7F8B"/>
    <w:rsid w:val="00302CD6"/>
    <w:rsid w:val="00303D94"/>
    <w:rsid w:val="003070C1"/>
    <w:rsid w:val="00310141"/>
    <w:rsid w:val="003106CE"/>
    <w:rsid w:val="00334C23"/>
    <w:rsid w:val="003366D5"/>
    <w:rsid w:val="003437EE"/>
    <w:rsid w:val="00344743"/>
    <w:rsid w:val="0034505E"/>
    <w:rsid w:val="00361847"/>
    <w:rsid w:val="00371F3F"/>
    <w:rsid w:val="00384FE1"/>
    <w:rsid w:val="003862D8"/>
    <w:rsid w:val="00390DD6"/>
    <w:rsid w:val="00391347"/>
    <w:rsid w:val="003A35DB"/>
    <w:rsid w:val="003A4E06"/>
    <w:rsid w:val="003A5CB1"/>
    <w:rsid w:val="003C09D2"/>
    <w:rsid w:val="003C2641"/>
    <w:rsid w:val="003C5788"/>
    <w:rsid w:val="003D00F7"/>
    <w:rsid w:val="003D4C05"/>
    <w:rsid w:val="003D623F"/>
    <w:rsid w:val="003D7B6D"/>
    <w:rsid w:val="003E045A"/>
    <w:rsid w:val="003E1D63"/>
    <w:rsid w:val="00400C60"/>
    <w:rsid w:val="0040384E"/>
    <w:rsid w:val="004077C1"/>
    <w:rsid w:val="004137AA"/>
    <w:rsid w:val="004144B2"/>
    <w:rsid w:val="00414FF5"/>
    <w:rsid w:val="0041653D"/>
    <w:rsid w:val="00416F25"/>
    <w:rsid w:val="0042321F"/>
    <w:rsid w:val="004316CA"/>
    <w:rsid w:val="00434303"/>
    <w:rsid w:val="00443490"/>
    <w:rsid w:val="00447798"/>
    <w:rsid w:val="00451B24"/>
    <w:rsid w:val="0046626F"/>
    <w:rsid w:val="00467D8E"/>
    <w:rsid w:val="0047192B"/>
    <w:rsid w:val="00474DA2"/>
    <w:rsid w:val="00484613"/>
    <w:rsid w:val="004927ED"/>
    <w:rsid w:val="004A159A"/>
    <w:rsid w:val="004A4917"/>
    <w:rsid w:val="004A4F60"/>
    <w:rsid w:val="004A56B3"/>
    <w:rsid w:val="004A6D09"/>
    <w:rsid w:val="004B3826"/>
    <w:rsid w:val="004B4D4E"/>
    <w:rsid w:val="004B5390"/>
    <w:rsid w:val="004C7524"/>
    <w:rsid w:val="004D3449"/>
    <w:rsid w:val="004D798C"/>
    <w:rsid w:val="004E386E"/>
    <w:rsid w:val="004E564D"/>
    <w:rsid w:val="004E7A4B"/>
    <w:rsid w:val="004F288E"/>
    <w:rsid w:val="004F4731"/>
    <w:rsid w:val="004F5FD8"/>
    <w:rsid w:val="004F7D54"/>
    <w:rsid w:val="005007A2"/>
    <w:rsid w:val="00505E0F"/>
    <w:rsid w:val="005076CB"/>
    <w:rsid w:val="005129DC"/>
    <w:rsid w:val="00513140"/>
    <w:rsid w:val="0052232C"/>
    <w:rsid w:val="005304E7"/>
    <w:rsid w:val="00541A22"/>
    <w:rsid w:val="005528D6"/>
    <w:rsid w:val="0055349B"/>
    <w:rsid w:val="0056229C"/>
    <w:rsid w:val="0056236C"/>
    <w:rsid w:val="00563DBC"/>
    <w:rsid w:val="005650CE"/>
    <w:rsid w:val="00571D04"/>
    <w:rsid w:val="005801FF"/>
    <w:rsid w:val="00595716"/>
    <w:rsid w:val="005A4F2E"/>
    <w:rsid w:val="005A4F53"/>
    <w:rsid w:val="005A6B9A"/>
    <w:rsid w:val="005B2D26"/>
    <w:rsid w:val="005B4ED3"/>
    <w:rsid w:val="005D1CCE"/>
    <w:rsid w:val="005D2D42"/>
    <w:rsid w:val="005D37F3"/>
    <w:rsid w:val="005E50A3"/>
    <w:rsid w:val="005E50B9"/>
    <w:rsid w:val="005F106C"/>
    <w:rsid w:val="005F3718"/>
    <w:rsid w:val="005F4AB9"/>
    <w:rsid w:val="006159A0"/>
    <w:rsid w:val="00651969"/>
    <w:rsid w:val="00652667"/>
    <w:rsid w:val="0065369E"/>
    <w:rsid w:val="006565B5"/>
    <w:rsid w:val="00661F3B"/>
    <w:rsid w:val="006622BF"/>
    <w:rsid w:val="00665989"/>
    <w:rsid w:val="006857FB"/>
    <w:rsid w:val="006934D0"/>
    <w:rsid w:val="00694DB7"/>
    <w:rsid w:val="006B0BE7"/>
    <w:rsid w:val="006B244E"/>
    <w:rsid w:val="006C1ACF"/>
    <w:rsid w:val="006C62CB"/>
    <w:rsid w:val="006C74A5"/>
    <w:rsid w:val="006D08D8"/>
    <w:rsid w:val="006D6838"/>
    <w:rsid w:val="006E1B51"/>
    <w:rsid w:val="006E1F70"/>
    <w:rsid w:val="006E2F17"/>
    <w:rsid w:val="006F2622"/>
    <w:rsid w:val="006F2C7C"/>
    <w:rsid w:val="006F5DE7"/>
    <w:rsid w:val="006F7C15"/>
    <w:rsid w:val="0070319F"/>
    <w:rsid w:val="00714D68"/>
    <w:rsid w:val="00716D00"/>
    <w:rsid w:val="00730128"/>
    <w:rsid w:val="00732AFD"/>
    <w:rsid w:val="0073674D"/>
    <w:rsid w:val="00737167"/>
    <w:rsid w:val="00762358"/>
    <w:rsid w:val="00762760"/>
    <w:rsid w:val="0078103D"/>
    <w:rsid w:val="0078348D"/>
    <w:rsid w:val="00783602"/>
    <w:rsid w:val="00787E83"/>
    <w:rsid w:val="00791D60"/>
    <w:rsid w:val="00797BEF"/>
    <w:rsid w:val="007B0A69"/>
    <w:rsid w:val="007B0DE7"/>
    <w:rsid w:val="007B3566"/>
    <w:rsid w:val="007B462C"/>
    <w:rsid w:val="007C06F7"/>
    <w:rsid w:val="007C0882"/>
    <w:rsid w:val="007D0388"/>
    <w:rsid w:val="007D07F2"/>
    <w:rsid w:val="007D2F94"/>
    <w:rsid w:val="007D6218"/>
    <w:rsid w:val="007F25D2"/>
    <w:rsid w:val="008038C1"/>
    <w:rsid w:val="00805484"/>
    <w:rsid w:val="00805EC7"/>
    <w:rsid w:val="00815480"/>
    <w:rsid w:val="008173D0"/>
    <w:rsid w:val="00825300"/>
    <w:rsid w:val="00825331"/>
    <w:rsid w:val="00831E3B"/>
    <w:rsid w:val="00834614"/>
    <w:rsid w:val="00840AF1"/>
    <w:rsid w:val="00843A6F"/>
    <w:rsid w:val="008503D9"/>
    <w:rsid w:val="00851679"/>
    <w:rsid w:val="00854CA5"/>
    <w:rsid w:val="00856CB1"/>
    <w:rsid w:val="008608BE"/>
    <w:rsid w:val="008720E6"/>
    <w:rsid w:val="00872816"/>
    <w:rsid w:val="00874AF5"/>
    <w:rsid w:val="0087526D"/>
    <w:rsid w:val="0087622C"/>
    <w:rsid w:val="0088121C"/>
    <w:rsid w:val="00887E74"/>
    <w:rsid w:val="00895FD3"/>
    <w:rsid w:val="008A0748"/>
    <w:rsid w:val="008B0F51"/>
    <w:rsid w:val="008B6C9C"/>
    <w:rsid w:val="008C203B"/>
    <w:rsid w:val="008C3F59"/>
    <w:rsid w:val="008C40E3"/>
    <w:rsid w:val="008C4E6F"/>
    <w:rsid w:val="008D13FB"/>
    <w:rsid w:val="008D2C14"/>
    <w:rsid w:val="008D46E8"/>
    <w:rsid w:val="008D55A9"/>
    <w:rsid w:val="008E3630"/>
    <w:rsid w:val="008E3ED0"/>
    <w:rsid w:val="008E775B"/>
    <w:rsid w:val="008F1E3F"/>
    <w:rsid w:val="008F72BD"/>
    <w:rsid w:val="008F7968"/>
    <w:rsid w:val="00903413"/>
    <w:rsid w:val="0090368C"/>
    <w:rsid w:val="0090634C"/>
    <w:rsid w:val="00920BC2"/>
    <w:rsid w:val="00922B5B"/>
    <w:rsid w:val="00942C98"/>
    <w:rsid w:val="009451F1"/>
    <w:rsid w:val="00954562"/>
    <w:rsid w:val="00962C96"/>
    <w:rsid w:val="0096479D"/>
    <w:rsid w:val="0096622F"/>
    <w:rsid w:val="00967B4E"/>
    <w:rsid w:val="00970211"/>
    <w:rsid w:val="009A00C1"/>
    <w:rsid w:val="009A41B2"/>
    <w:rsid w:val="009B379D"/>
    <w:rsid w:val="009B42CD"/>
    <w:rsid w:val="009B4AF8"/>
    <w:rsid w:val="009B512F"/>
    <w:rsid w:val="009C3652"/>
    <w:rsid w:val="009C6D39"/>
    <w:rsid w:val="009D670E"/>
    <w:rsid w:val="009E77DE"/>
    <w:rsid w:val="009F2AE7"/>
    <w:rsid w:val="009F42E7"/>
    <w:rsid w:val="00A01A24"/>
    <w:rsid w:val="00A02E32"/>
    <w:rsid w:val="00A03B9C"/>
    <w:rsid w:val="00A04712"/>
    <w:rsid w:val="00A14ACE"/>
    <w:rsid w:val="00A221E6"/>
    <w:rsid w:val="00A2277D"/>
    <w:rsid w:val="00A22CB6"/>
    <w:rsid w:val="00A31200"/>
    <w:rsid w:val="00A37D72"/>
    <w:rsid w:val="00A4168C"/>
    <w:rsid w:val="00A467A8"/>
    <w:rsid w:val="00A47029"/>
    <w:rsid w:val="00A57E5B"/>
    <w:rsid w:val="00A6255F"/>
    <w:rsid w:val="00A633E9"/>
    <w:rsid w:val="00A73F47"/>
    <w:rsid w:val="00A75A82"/>
    <w:rsid w:val="00A93567"/>
    <w:rsid w:val="00A954D9"/>
    <w:rsid w:val="00A95E20"/>
    <w:rsid w:val="00A97C63"/>
    <w:rsid w:val="00AA26B0"/>
    <w:rsid w:val="00AA73D7"/>
    <w:rsid w:val="00AB2400"/>
    <w:rsid w:val="00AC00B1"/>
    <w:rsid w:val="00AC3FB2"/>
    <w:rsid w:val="00AC5B02"/>
    <w:rsid w:val="00AC6EB0"/>
    <w:rsid w:val="00AC7878"/>
    <w:rsid w:val="00AD6247"/>
    <w:rsid w:val="00AE1AA5"/>
    <w:rsid w:val="00AE2D83"/>
    <w:rsid w:val="00AE3684"/>
    <w:rsid w:val="00AE6379"/>
    <w:rsid w:val="00AE6537"/>
    <w:rsid w:val="00AF0EA9"/>
    <w:rsid w:val="00AF6216"/>
    <w:rsid w:val="00B00244"/>
    <w:rsid w:val="00B030F1"/>
    <w:rsid w:val="00B058CF"/>
    <w:rsid w:val="00B106A7"/>
    <w:rsid w:val="00B138AA"/>
    <w:rsid w:val="00B1569C"/>
    <w:rsid w:val="00B17D3B"/>
    <w:rsid w:val="00B3247A"/>
    <w:rsid w:val="00B326A0"/>
    <w:rsid w:val="00B3592F"/>
    <w:rsid w:val="00B35B64"/>
    <w:rsid w:val="00B36591"/>
    <w:rsid w:val="00B4482B"/>
    <w:rsid w:val="00B44992"/>
    <w:rsid w:val="00B449D9"/>
    <w:rsid w:val="00B51B3C"/>
    <w:rsid w:val="00B6222E"/>
    <w:rsid w:val="00B75DF6"/>
    <w:rsid w:val="00B82230"/>
    <w:rsid w:val="00B850A5"/>
    <w:rsid w:val="00B86E3C"/>
    <w:rsid w:val="00BA4FC7"/>
    <w:rsid w:val="00BA6690"/>
    <w:rsid w:val="00BB2647"/>
    <w:rsid w:val="00BB41A2"/>
    <w:rsid w:val="00BC1DA9"/>
    <w:rsid w:val="00BC3244"/>
    <w:rsid w:val="00BC4BD2"/>
    <w:rsid w:val="00BC54BE"/>
    <w:rsid w:val="00BD4836"/>
    <w:rsid w:val="00BE38A1"/>
    <w:rsid w:val="00BE4417"/>
    <w:rsid w:val="00BE491C"/>
    <w:rsid w:val="00BE7752"/>
    <w:rsid w:val="00BE78C0"/>
    <w:rsid w:val="00BF598A"/>
    <w:rsid w:val="00C01C65"/>
    <w:rsid w:val="00C03EAE"/>
    <w:rsid w:val="00C049C2"/>
    <w:rsid w:val="00C20068"/>
    <w:rsid w:val="00C20ED5"/>
    <w:rsid w:val="00C23811"/>
    <w:rsid w:val="00C265C5"/>
    <w:rsid w:val="00C316F6"/>
    <w:rsid w:val="00C3273C"/>
    <w:rsid w:val="00C42B5D"/>
    <w:rsid w:val="00C44F70"/>
    <w:rsid w:val="00C45366"/>
    <w:rsid w:val="00C51A81"/>
    <w:rsid w:val="00C5748B"/>
    <w:rsid w:val="00C607DA"/>
    <w:rsid w:val="00C61606"/>
    <w:rsid w:val="00C667CC"/>
    <w:rsid w:val="00C7277C"/>
    <w:rsid w:val="00C7305F"/>
    <w:rsid w:val="00C7512C"/>
    <w:rsid w:val="00C75E3D"/>
    <w:rsid w:val="00C90379"/>
    <w:rsid w:val="00C93A5F"/>
    <w:rsid w:val="00C97BED"/>
    <w:rsid w:val="00CB718A"/>
    <w:rsid w:val="00CC1FBD"/>
    <w:rsid w:val="00CC3BCA"/>
    <w:rsid w:val="00CC5C0E"/>
    <w:rsid w:val="00CC6D0D"/>
    <w:rsid w:val="00CC71DE"/>
    <w:rsid w:val="00CD192D"/>
    <w:rsid w:val="00CD248B"/>
    <w:rsid w:val="00CD258D"/>
    <w:rsid w:val="00CD3A3C"/>
    <w:rsid w:val="00CE2226"/>
    <w:rsid w:val="00CE4541"/>
    <w:rsid w:val="00CF2290"/>
    <w:rsid w:val="00CF2772"/>
    <w:rsid w:val="00CF3538"/>
    <w:rsid w:val="00CF42D0"/>
    <w:rsid w:val="00CF4EDA"/>
    <w:rsid w:val="00CF58AC"/>
    <w:rsid w:val="00CF7713"/>
    <w:rsid w:val="00D01911"/>
    <w:rsid w:val="00D10D9D"/>
    <w:rsid w:val="00D2416C"/>
    <w:rsid w:val="00D24F9C"/>
    <w:rsid w:val="00D3668E"/>
    <w:rsid w:val="00D408CC"/>
    <w:rsid w:val="00D419E7"/>
    <w:rsid w:val="00D51579"/>
    <w:rsid w:val="00D55F36"/>
    <w:rsid w:val="00D56234"/>
    <w:rsid w:val="00D5782D"/>
    <w:rsid w:val="00D578A8"/>
    <w:rsid w:val="00D57BA5"/>
    <w:rsid w:val="00D67496"/>
    <w:rsid w:val="00D7294D"/>
    <w:rsid w:val="00D84DE5"/>
    <w:rsid w:val="00D92B64"/>
    <w:rsid w:val="00D93E4D"/>
    <w:rsid w:val="00D944E6"/>
    <w:rsid w:val="00D9488E"/>
    <w:rsid w:val="00D95484"/>
    <w:rsid w:val="00DA0862"/>
    <w:rsid w:val="00DB467A"/>
    <w:rsid w:val="00DC1B5E"/>
    <w:rsid w:val="00DC3CC5"/>
    <w:rsid w:val="00DD1A37"/>
    <w:rsid w:val="00DD5298"/>
    <w:rsid w:val="00DE42EC"/>
    <w:rsid w:val="00DE5293"/>
    <w:rsid w:val="00DE7C58"/>
    <w:rsid w:val="00DE7FDA"/>
    <w:rsid w:val="00DF5366"/>
    <w:rsid w:val="00E006F9"/>
    <w:rsid w:val="00E02C7C"/>
    <w:rsid w:val="00E10DBB"/>
    <w:rsid w:val="00E12355"/>
    <w:rsid w:val="00E12770"/>
    <w:rsid w:val="00E133B3"/>
    <w:rsid w:val="00E25F83"/>
    <w:rsid w:val="00E27DE6"/>
    <w:rsid w:val="00E30C77"/>
    <w:rsid w:val="00E4054B"/>
    <w:rsid w:val="00E4110D"/>
    <w:rsid w:val="00E4261B"/>
    <w:rsid w:val="00E445C1"/>
    <w:rsid w:val="00E44FCD"/>
    <w:rsid w:val="00E44FE6"/>
    <w:rsid w:val="00E45BE2"/>
    <w:rsid w:val="00E47656"/>
    <w:rsid w:val="00E52D07"/>
    <w:rsid w:val="00E53E63"/>
    <w:rsid w:val="00E543FC"/>
    <w:rsid w:val="00E5640F"/>
    <w:rsid w:val="00E66A28"/>
    <w:rsid w:val="00E67BE1"/>
    <w:rsid w:val="00E82AD4"/>
    <w:rsid w:val="00E859AA"/>
    <w:rsid w:val="00E8706D"/>
    <w:rsid w:val="00E92122"/>
    <w:rsid w:val="00E92C4C"/>
    <w:rsid w:val="00E9685B"/>
    <w:rsid w:val="00EC346D"/>
    <w:rsid w:val="00ED1D6B"/>
    <w:rsid w:val="00ED4513"/>
    <w:rsid w:val="00ED7893"/>
    <w:rsid w:val="00EF15C3"/>
    <w:rsid w:val="00EF21EF"/>
    <w:rsid w:val="00F016DA"/>
    <w:rsid w:val="00F02A66"/>
    <w:rsid w:val="00F05529"/>
    <w:rsid w:val="00F104B0"/>
    <w:rsid w:val="00F14011"/>
    <w:rsid w:val="00F148B8"/>
    <w:rsid w:val="00F15B0D"/>
    <w:rsid w:val="00F33EC0"/>
    <w:rsid w:val="00F40DF3"/>
    <w:rsid w:val="00F4337F"/>
    <w:rsid w:val="00F43B70"/>
    <w:rsid w:val="00F44C0B"/>
    <w:rsid w:val="00F50E47"/>
    <w:rsid w:val="00F537E9"/>
    <w:rsid w:val="00F61398"/>
    <w:rsid w:val="00F83F93"/>
    <w:rsid w:val="00F85E83"/>
    <w:rsid w:val="00F8757E"/>
    <w:rsid w:val="00F927EA"/>
    <w:rsid w:val="00F92B3F"/>
    <w:rsid w:val="00F92CE0"/>
    <w:rsid w:val="00F94ABC"/>
    <w:rsid w:val="00FA09B1"/>
    <w:rsid w:val="00FA73B8"/>
    <w:rsid w:val="00FB47CA"/>
    <w:rsid w:val="00FB60EF"/>
    <w:rsid w:val="00FB7412"/>
    <w:rsid w:val="00FC5B2D"/>
    <w:rsid w:val="00FC6884"/>
    <w:rsid w:val="00FD17BD"/>
    <w:rsid w:val="00FE75DC"/>
    <w:rsid w:val="00FF0EF2"/>
    <w:rsid w:val="00FF1D99"/>
    <w:rsid w:val="00FF225F"/>
    <w:rsid w:val="038A2A20"/>
    <w:rsid w:val="03A27796"/>
    <w:rsid w:val="04243DB5"/>
    <w:rsid w:val="05DE22D8"/>
    <w:rsid w:val="09DC1C94"/>
    <w:rsid w:val="0CCC57C0"/>
    <w:rsid w:val="0CF44B74"/>
    <w:rsid w:val="0EA0672E"/>
    <w:rsid w:val="10D4309D"/>
    <w:rsid w:val="11BD1D7A"/>
    <w:rsid w:val="18245ECC"/>
    <w:rsid w:val="1BE83F52"/>
    <w:rsid w:val="1EE0427F"/>
    <w:rsid w:val="1FF84BB0"/>
    <w:rsid w:val="23DA5DE6"/>
    <w:rsid w:val="26FC7E22"/>
    <w:rsid w:val="285C4C72"/>
    <w:rsid w:val="29CE5BDB"/>
    <w:rsid w:val="2BFC093E"/>
    <w:rsid w:val="2CDA6E57"/>
    <w:rsid w:val="32F13711"/>
    <w:rsid w:val="33D02700"/>
    <w:rsid w:val="381C7B6A"/>
    <w:rsid w:val="3C1E0D2E"/>
    <w:rsid w:val="3CB5031C"/>
    <w:rsid w:val="3D122D92"/>
    <w:rsid w:val="3DAE0540"/>
    <w:rsid w:val="4005231E"/>
    <w:rsid w:val="442205D2"/>
    <w:rsid w:val="46D87B0C"/>
    <w:rsid w:val="48974F56"/>
    <w:rsid w:val="49267254"/>
    <w:rsid w:val="4A1C41B3"/>
    <w:rsid w:val="4FE8475A"/>
    <w:rsid w:val="537961D3"/>
    <w:rsid w:val="546B520C"/>
    <w:rsid w:val="573568B4"/>
    <w:rsid w:val="589B7551"/>
    <w:rsid w:val="59365616"/>
    <w:rsid w:val="5945561B"/>
    <w:rsid w:val="599B33CD"/>
    <w:rsid w:val="5A35600C"/>
    <w:rsid w:val="5BF6686F"/>
    <w:rsid w:val="5C5B1BCF"/>
    <w:rsid w:val="5DF272AD"/>
    <w:rsid w:val="5EC65C74"/>
    <w:rsid w:val="5F766ABE"/>
    <w:rsid w:val="6535142B"/>
    <w:rsid w:val="683D7C14"/>
    <w:rsid w:val="69797EDA"/>
    <w:rsid w:val="69F64013"/>
    <w:rsid w:val="6A2F68C0"/>
    <w:rsid w:val="718225C7"/>
    <w:rsid w:val="76F61A9D"/>
    <w:rsid w:val="79766667"/>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5"/>
    <w:qFormat/>
    <w:uiPriority w:val="0"/>
    <w:pPr>
      <w:spacing w:before="240" w:after="60"/>
      <w:jc w:val="center"/>
      <w:outlineLvl w:val="0"/>
    </w:pPr>
    <w:rPr>
      <w:rFonts w:ascii="Cambria" w:hAnsi="Cambria"/>
      <w:b/>
      <w:bCs/>
      <w:sz w:val="32"/>
      <w:szCs w:val="32"/>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kern w:val="2"/>
      <w:sz w:val="21"/>
    </w:rPr>
  </w:style>
  <w:style w:type="character" w:customStyle="1" w:styleId="14">
    <w:name w:val="批注框文本 字符"/>
    <w:link w:val="3"/>
    <w:qFormat/>
    <w:uiPriority w:val="0"/>
    <w:rPr>
      <w:kern w:val="2"/>
      <w:sz w:val="18"/>
      <w:szCs w:val="18"/>
    </w:rPr>
  </w:style>
  <w:style w:type="character" w:customStyle="1" w:styleId="15">
    <w:name w:val="标题 字符"/>
    <w:link w:val="6"/>
    <w:qFormat/>
    <w:locked/>
    <w:uiPriority w:val="0"/>
    <w:rPr>
      <w:rFonts w:ascii="Cambria" w:hAnsi="Cambria" w:eastAsia="宋体"/>
      <w:b/>
      <w:bCs/>
      <w:kern w:val="2"/>
      <w:sz w:val="32"/>
      <w:szCs w:val="32"/>
      <w:lang w:val="en-US" w:eastAsia="zh-CN" w:bidi="ar-SA"/>
    </w:rPr>
  </w:style>
  <w:style w:type="character" w:customStyle="1" w:styleId="16">
    <w:name w:val="批注主题 字符"/>
    <w:link w:val="7"/>
    <w:qFormat/>
    <w:uiPriority w:val="0"/>
    <w:rPr>
      <w:b/>
      <w:bCs/>
      <w:kern w:val="2"/>
      <w:sz w:val="21"/>
    </w:rPr>
  </w:style>
  <w:style w:type="paragraph" w:styleId="17">
    <w:name w:val="List Paragraph"/>
    <w:basedOn w:val="1"/>
    <w:qFormat/>
    <w:uiPriority w:val="99"/>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1037</Words>
  <Characters>1070</Characters>
  <Lines>13</Lines>
  <Paragraphs>3</Paragraphs>
  <TotalTime>29</TotalTime>
  <ScaleCrop>false</ScaleCrop>
  <LinksUpToDate>false</LinksUpToDate>
  <CharactersWithSpaces>1142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2019-04-02T07:03:00Z</dcterms:created>
  <dc:creator>Tian</dc:creator>
  <cp:lastModifiedBy>绝味 毛琳璐</cp:lastModifiedBy>
  <cp:lastPrinted>2025-06-26T01:32:00Z</cp:lastPrinted>
  <dcterms:modified xsi:type="dcterms:W3CDTF">2026-01-22T08:05:56Z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46135238E6724F5F8A92C27B160C87DD_13</vt:lpwstr>
  </property>
  <property fmtid="{D5CDD505-2E9C-101B-9397-08002B2CF9AE}" pid="4" name="KSOTemplateDocerSaveRecord">
    <vt:lpwstr>eyJoZGlkIjoiNmFiMTM5NGM4N2IwNGYyOWM5NzMyNTEyZGIwZWZjZTciLCJ1c2VySWQiOiIxNDc0NDI1ODgwIn0=</vt:lpwstr>
  </property>
</Properties>
</file>