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eastAsiaTheme="minorEastAsia"/>
          <w:b/>
          <w:iCs/>
          <w:color w:val="000000"/>
          <w:sz w:val="24"/>
          <w:szCs w:val="24"/>
        </w:rPr>
      </w:pPr>
      <w:bookmarkStart w:id="0" w:name="_GoBack"/>
      <w:bookmarkEnd w:id="0"/>
      <w:r>
        <w:rPr>
          <w:rFonts w:eastAsiaTheme="minorEastAsia"/>
          <w:b/>
          <w:iCs/>
          <w:color w:val="000000"/>
          <w:sz w:val="24"/>
          <w:szCs w:val="24"/>
        </w:rPr>
        <w:t>证券代码：605086                                  证券简称：龙高股份</w:t>
      </w:r>
    </w:p>
    <w:p w14:paraId="268351C2">
      <w:pPr>
        <w:snapToGrid w:val="0"/>
        <w:spacing w:before="156" w:beforeLines="50" w:after="156" w:afterLines="50" w:line="360" w:lineRule="auto"/>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16E43DBF">
      <w:pPr>
        <w:spacing w:line="360" w:lineRule="auto"/>
        <w:rPr>
          <w:rFonts w:hint="default" w:eastAsia="仿宋"/>
          <w:bCs/>
          <w:iCs/>
          <w:color w:val="000000"/>
          <w:sz w:val="24"/>
          <w:szCs w:val="24"/>
          <w:lang w:val="en-US" w:eastAsia="zh-CN"/>
        </w:rPr>
      </w:pPr>
      <w:r>
        <w:rPr>
          <w:rFonts w:eastAsia="仿宋"/>
          <w:bCs/>
          <w:iCs/>
          <w:color w:val="000000"/>
          <w:sz w:val="28"/>
          <w:szCs w:val="28"/>
        </w:rPr>
        <w:t xml:space="preserve">                                                </w:t>
      </w:r>
      <w:r>
        <w:rPr>
          <w:rFonts w:asciiTheme="minorEastAsia" w:hAnsiTheme="minorEastAsia" w:eastAsiaTheme="minorEastAsia"/>
          <w:bCs/>
          <w:iCs/>
          <w:color w:val="000000"/>
          <w:sz w:val="24"/>
          <w:szCs w:val="24"/>
        </w:rPr>
        <w:t>编号：</w:t>
      </w:r>
      <w:r>
        <w:rPr>
          <w:rFonts w:eastAsia="仿宋"/>
          <w:bCs/>
          <w:iCs/>
          <w:color w:val="000000"/>
          <w:sz w:val="24"/>
          <w:szCs w:val="24"/>
        </w:rPr>
        <w:t>20</w:t>
      </w:r>
      <w:r>
        <w:rPr>
          <w:rFonts w:hint="eastAsia" w:eastAsia="仿宋"/>
          <w:bCs/>
          <w:iCs/>
          <w:color w:val="000000"/>
          <w:sz w:val="24"/>
          <w:szCs w:val="24"/>
        </w:rPr>
        <w:t>2</w:t>
      </w:r>
      <w:r>
        <w:rPr>
          <w:rFonts w:hint="eastAsia" w:eastAsia="仿宋"/>
          <w:bCs/>
          <w:iCs/>
          <w:color w:val="000000"/>
          <w:sz w:val="24"/>
          <w:szCs w:val="24"/>
          <w:lang w:val="en-US" w:eastAsia="zh-CN"/>
        </w:rPr>
        <w:t>6-02</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9"/>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84642B6">
            <w:pPr>
              <w:spacing w:line="360" w:lineRule="auto"/>
              <w:jc w:val="center"/>
              <w:rPr>
                <w:bCs/>
                <w:iCs/>
                <w:color w:val="000000"/>
                <w:sz w:val="24"/>
                <w:szCs w:val="24"/>
              </w:rPr>
            </w:pPr>
            <w:r>
              <w:rPr>
                <w:bCs/>
                <w:iCs/>
                <w:color w:val="000000"/>
                <w:sz w:val="24"/>
                <w:szCs w:val="24"/>
              </w:rPr>
              <w:t>投资者关系活动类别</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7367F36B">
            <w:pPr>
              <w:spacing w:line="360" w:lineRule="auto"/>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 xml:space="preserve">特定对象调研      </w:t>
            </w:r>
            <w:r>
              <w:rPr>
                <w:rFonts w:ascii="宋体" w:hAnsi="宋体"/>
                <w:bCs/>
                <w:iCs/>
                <w:color w:val="000000"/>
                <w:sz w:val="24"/>
                <w:szCs w:val="24"/>
              </w:rPr>
              <w:t>□</w:t>
            </w:r>
            <w:r>
              <w:rPr>
                <w:rFonts w:ascii="宋体" w:hAnsi="宋体"/>
                <w:color w:val="000000"/>
                <w:sz w:val="24"/>
                <w:szCs w:val="24"/>
              </w:rPr>
              <w:t>分析师会议</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 xml:space="preserve">媒体采访      </w:t>
            </w:r>
            <w:r>
              <w:rPr>
                <w:rFonts w:ascii="宋体" w:hAnsi="宋体"/>
                <w:bCs/>
                <w:iCs/>
                <w:color w:val="000000"/>
                <w:sz w:val="24"/>
                <w:szCs w:val="24"/>
              </w:rPr>
              <w:t>□</w:t>
            </w:r>
            <w:r>
              <w:rPr>
                <w:rFonts w:ascii="宋体" w:hAnsi="宋体"/>
                <w:color w:val="000000"/>
                <w:sz w:val="24"/>
                <w:szCs w:val="24"/>
              </w:rPr>
              <w:t xml:space="preserve">业绩说明会         </w:t>
            </w:r>
            <w:r>
              <w:rPr>
                <w:rFonts w:ascii="宋体" w:hAnsi="宋体"/>
                <w:bCs/>
                <w:iCs/>
                <w:color w:val="000000"/>
                <w:sz w:val="24"/>
                <w:szCs w:val="24"/>
              </w:rPr>
              <w:t>□</w:t>
            </w:r>
            <w:r>
              <w:rPr>
                <w:rFonts w:ascii="宋体" w:hAnsi="宋体"/>
                <w:color w:val="000000"/>
                <w:sz w:val="24"/>
                <w:szCs w:val="24"/>
              </w:rPr>
              <w:t xml:space="preserve">新闻发布会        </w:t>
            </w:r>
            <w:r>
              <w:rPr>
                <w:rFonts w:ascii="宋体" w:hAnsi="宋体"/>
                <w:bCs/>
                <w:iCs/>
                <w:color w:val="000000"/>
                <w:sz w:val="24"/>
                <w:szCs w:val="24"/>
              </w:rPr>
              <w:t>□</w:t>
            </w:r>
            <w:r>
              <w:rPr>
                <w:rFonts w:ascii="宋体" w:hAnsi="宋体"/>
                <w:color w:val="000000"/>
                <w:sz w:val="24"/>
                <w:szCs w:val="24"/>
              </w:rPr>
              <w:t>路演活动</w:t>
            </w:r>
          </w:p>
          <w:p w14:paraId="6D32EC6C">
            <w:pPr>
              <w:tabs>
                <w:tab w:val="left" w:pos="3045"/>
                <w:tab w:val="center" w:pos="3199"/>
              </w:tabs>
              <w:spacing w:line="360" w:lineRule="auto"/>
              <w:rPr>
                <w:bCs/>
                <w:iCs/>
                <w:color w:val="000000"/>
                <w:sz w:val="24"/>
                <w:szCs w:val="24"/>
              </w:rPr>
            </w:pPr>
            <w:r>
              <w:rPr>
                <w:rFonts w:ascii="宋体" w:hAnsi="宋体"/>
                <w:bCs/>
                <w:iCs/>
                <w:color w:val="000000"/>
                <w:sz w:val="24"/>
                <w:szCs w:val="24"/>
              </w:rPr>
              <w:t>√</w:t>
            </w:r>
            <w:r>
              <w:rPr>
                <w:rFonts w:ascii="宋体" w:hAnsi="宋体"/>
                <w:color w:val="000000"/>
                <w:sz w:val="24"/>
                <w:szCs w:val="24"/>
              </w:rPr>
              <w:t>现场</w:t>
            </w:r>
            <w:r>
              <w:rPr>
                <w:rFonts w:hint="eastAsia" w:ascii="宋体" w:hAnsi="宋体"/>
                <w:color w:val="000000"/>
                <w:sz w:val="24"/>
                <w:szCs w:val="24"/>
                <w:lang w:val="en-US" w:eastAsia="zh-CN"/>
              </w:rPr>
              <w:t>交流</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其他</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D7DAD22">
            <w:pPr>
              <w:spacing w:line="360" w:lineRule="auto"/>
              <w:jc w:val="center"/>
              <w:rPr>
                <w:bCs/>
                <w:iCs/>
                <w:color w:val="000000"/>
                <w:sz w:val="24"/>
                <w:szCs w:val="24"/>
              </w:rPr>
            </w:pPr>
            <w:r>
              <w:rPr>
                <w:bCs/>
                <w:iCs/>
                <w:color w:val="000000"/>
                <w:sz w:val="24"/>
                <w:szCs w:val="24"/>
              </w:rPr>
              <w:t>参与单位名称</w:t>
            </w:r>
          </w:p>
          <w:p w14:paraId="2F34641D">
            <w:pPr>
              <w:spacing w:line="360" w:lineRule="auto"/>
              <w:jc w:val="center"/>
              <w:rPr>
                <w:bCs/>
                <w:iCs/>
                <w:color w:val="000000"/>
                <w:sz w:val="24"/>
                <w:szCs w:val="24"/>
              </w:rPr>
            </w:pPr>
            <w:r>
              <w:rPr>
                <w:bCs/>
                <w:iCs/>
                <w:color w:val="000000"/>
                <w:sz w:val="24"/>
                <w:szCs w:val="24"/>
              </w:rPr>
              <w:t>及人员姓名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0EF4BAB7">
            <w:pPr>
              <w:spacing w:line="360" w:lineRule="auto"/>
              <w:rPr>
                <w:rFonts w:hint="default" w:eastAsia="宋体"/>
                <w:bCs/>
                <w:iCs/>
                <w:color w:val="000000"/>
                <w:sz w:val="24"/>
                <w:szCs w:val="24"/>
                <w:lang w:val="en-US" w:eastAsia="zh-CN"/>
              </w:rPr>
            </w:pPr>
            <w:r>
              <w:rPr>
                <w:rFonts w:hint="default" w:eastAsia="宋体"/>
                <w:bCs/>
                <w:iCs/>
                <w:color w:val="000000"/>
                <w:sz w:val="24"/>
                <w:szCs w:val="24"/>
                <w:lang w:val="en-US" w:eastAsia="zh-CN"/>
              </w:rPr>
              <w:t xml:space="preserve">国联民生证券 张弋清 </w:t>
            </w:r>
          </w:p>
          <w:p w14:paraId="07F177C4">
            <w:pPr>
              <w:spacing w:line="360" w:lineRule="auto"/>
              <w:rPr>
                <w:rFonts w:hint="default" w:eastAsia="宋体"/>
                <w:bCs/>
                <w:iCs/>
                <w:color w:val="000000"/>
                <w:sz w:val="24"/>
                <w:szCs w:val="24"/>
                <w:lang w:val="en-US" w:eastAsia="zh-CN"/>
              </w:rPr>
            </w:pPr>
            <w:r>
              <w:rPr>
                <w:rFonts w:hint="default" w:eastAsia="宋体"/>
                <w:bCs/>
                <w:iCs/>
                <w:color w:val="000000"/>
                <w:sz w:val="24"/>
                <w:szCs w:val="24"/>
                <w:lang w:val="en-US" w:eastAsia="zh-CN"/>
              </w:rPr>
              <w:t>国泰海通证券 罗子博</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spacing w:line="360" w:lineRule="auto"/>
              <w:jc w:val="center"/>
              <w:rPr>
                <w:bCs/>
                <w:iCs/>
                <w:color w:val="000000"/>
                <w:sz w:val="24"/>
                <w:szCs w:val="24"/>
              </w:rPr>
            </w:pPr>
            <w:r>
              <w:rPr>
                <w:bCs/>
                <w:iCs/>
                <w:color w:val="000000"/>
                <w:sz w:val="24"/>
                <w:szCs w:val="24"/>
              </w:rPr>
              <w:t>时间</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spacing w:line="360" w:lineRule="auto"/>
              <w:rPr>
                <w:rFonts w:hint="default" w:eastAsia="宋体"/>
                <w:bCs/>
                <w:iCs/>
                <w:color w:val="000000"/>
                <w:sz w:val="24"/>
                <w:szCs w:val="24"/>
                <w:lang w:val="en-US" w:eastAsia="zh-CN"/>
              </w:rPr>
            </w:pPr>
            <w:r>
              <w:rPr>
                <w:bCs/>
                <w:iCs/>
                <w:color w:val="000000"/>
                <w:sz w:val="24"/>
                <w:szCs w:val="24"/>
              </w:rPr>
              <w:t>202</w:t>
            </w:r>
            <w:r>
              <w:rPr>
                <w:rFonts w:hint="eastAsia"/>
                <w:bCs/>
                <w:iCs/>
                <w:color w:val="000000"/>
                <w:sz w:val="24"/>
                <w:szCs w:val="24"/>
                <w:lang w:val="en-US" w:eastAsia="zh-CN"/>
              </w:rPr>
              <w:t>6</w:t>
            </w:r>
            <w:r>
              <w:rPr>
                <w:bCs/>
                <w:iCs/>
                <w:color w:val="000000"/>
                <w:sz w:val="24"/>
                <w:szCs w:val="24"/>
              </w:rPr>
              <w:t>年</w:t>
            </w:r>
            <w:r>
              <w:rPr>
                <w:rFonts w:hint="eastAsia"/>
                <w:bCs/>
                <w:iCs/>
                <w:color w:val="000000"/>
                <w:sz w:val="24"/>
                <w:szCs w:val="24"/>
                <w:lang w:val="en-US" w:eastAsia="zh-CN"/>
              </w:rPr>
              <w:t>1</w:t>
            </w:r>
            <w:r>
              <w:rPr>
                <w:bCs/>
                <w:iCs/>
                <w:color w:val="000000"/>
                <w:sz w:val="24"/>
                <w:szCs w:val="24"/>
              </w:rPr>
              <w:t>月</w:t>
            </w:r>
            <w:r>
              <w:rPr>
                <w:rFonts w:hint="eastAsia"/>
                <w:bCs/>
                <w:iCs/>
                <w:color w:val="000000"/>
                <w:sz w:val="24"/>
                <w:szCs w:val="24"/>
                <w:lang w:val="en-US" w:eastAsia="zh-CN"/>
              </w:rPr>
              <w:t>22</w:t>
            </w:r>
            <w:r>
              <w:rPr>
                <w:bCs/>
                <w:iCs/>
                <w:color w:val="000000"/>
                <w:sz w:val="24"/>
                <w:szCs w:val="24"/>
              </w:rPr>
              <w:t>日</w:t>
            </w:r>
            <w:r>
              <w:rPr>
                <w:rFonts w:hint="eastAsia"/>
                <w:bCs/>
                <w:iCs/>
                <w:sz w:val="24"/>
                <w:szCs w:val="24"/>
                <w:lang w:val="en-US" w:eastAsia="zh-CN"/>
              </w:rPr>
              <w:t>9:30-11:30</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spacing w:line="360" w:lineRule="auto"/>
              <w:jc w:val="center"/>
              <w:rPr>
                <w:bCs/>
                <w:iCs/>
                <w:color w:val="000000"/>
                <w:sz w:val="24"/>
                <w:szCs w:val="24"/>
              </w:rPr>
            </w:pPr>
            <w:r>
              <w:rPr>
                <w:bCs/>
                <w:iCs/>
                <w:color w:val="000000"/>
                <w:sz w:val="24"/>
                <w:szCs w:val="24"/>
              </w:rPr>
              <w:t>地点</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3EA8C980">
            <w:pPr>
              <w:spacing w:line="360" w:lineRule="auto"/>
              <w:rPr>
                <w:bCs/>
                <w:iCs/>
                <w:color w:val="000000"/>
                <w:sz w:val="24"/>
                <w:szCs w:val="24"/>
              </w:rPr>
            </w:pPr>
            <w:r>
              <w:rPr>
                <w:rFonts w:hint="eastAsia"/>
                <w:bCs/>
                <w:iCs/>
                <w:color w:val="000000"/>
                <w:sz w:val="24"/>
                <w:szCs w:val="24"/>
              </w:rPr>
              <w:t>龙岩高岭土股份有限公司</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154C128">
            <w:pPr>
              <w:spacing w:line="360" w:lineRule="auto"/>
              <w:jc w:val="center"/>
              <w:rPr>
                <w:bCs/>
                <w:iCs/>
                <w:color w:val="000000"/>
                <w:sz w:val="24"/>
                <w:szCs w:val="24"/>
              </w:rPr>
            </w:pPr>
            <w:r>
              <w:rPr>
                <w:bCs/>
                <w:iCs/>
                <w:color w:val="000000"/>
                <w:sz w:val="24"/>
                <w:szCs w:val="24"/>
              </w:rPr>
              <w:t>上市公司接待</w:t>
            </w:r>
          </w:p>
          <w:p w14:paraId="7EEE3C38">
            <w:pPr>
              <w:spacing w:line="360" w:lineRule="auto"/>
              <w:jc w:val="center"/>
              <w:rPr>
                <w:bCs/>
                <w:iCs/>
                <w:color w:val="000000"/>
                <w:sz w:val="24"/>
                <w:szCs w:val="24"/>
              </w:rPr>
            </w:pPr>
            <w:r>
              <w:rPr>
                <w:bCs/>
                <w:iCs/>
                <w:color w:val="000000"/>
                <w:sz w:val="24"/>
                <w:szCs w:val="24"/>
              </w:rPr>
              <w:t>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spacing w:line="360" w:lineRule="auto"/>
              <w:rPr>
                <w:rFonts w:hint="default" w:eastAsia="宋体"/>
                <w:bCs/>
                <w:iCs/>
                <w:color w:val="000000"/>
                <w:sz w:val="24"/>
                <w:szCs w:val="24"/>
                <w:lang w:val="en-US" w:eastAsia="zh-CN"/>
              </w:rPr>
            </w:pPr>
            <w:r>
              <w:rPr>
                <w:rFonts w:hint="eastAsia"/>
                <w:bCs/>
                <w:iCs/>
                <w:color w:val="000000"/>
                <w:sz w:val="24"/>
                <w:szCs w:val="24"/>
                <w:lang w:val="en-US" w:eastAsia="zh-CN"/>
              </w:rPr>
              <w:t>公司董秘熊斌、证券事务代表黄伟斌</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9A4392F">
            <w:pPr>
              <w:spacing w:line="360" w:lineRule="auto"/>
              <w:jc w:val="center"/>
              <w:rPr>
                <w:bCs/>
                <w:iCs/>
                <w:color w:val="000000"/>
                <w:sz w:val="24"/>
                <w:szCs w:val="24"/>
              </w:rPr>
            </w:pPr>
            <w:r>
              <w:rPr>
                <w:bCs/>
                <w:iCs/>
                <w:color w:val="000000"/>
                <w:sz w:val="24"/>
                <w:szCs w:val="24"/>
              </w:rPr>
              <w:t>投资者关系活动主要内容介绍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4E7CDB6F">
            <w:pPr>
              <w:widowControl/>
              <w:spacing w:line="360" w:lineRule="auto"/>
              <w:ind w:firstLine="482" w:firstLineChars="200"/>
              <w:rPr>
                <w:b/>
                <w:bCs/>
                <w:sz w:val="24"/>
              </w:rPr>
            </w:pPr>
            <w:r>
              <w:rPr>
                <w:rFonts w:hint="eastAsia"/>
                <w:b/>
                <w:bCs/>
                <w:sz w:val="24"/>
              </w:rPr>
              <w:t>交流情况：</w:t>
            </w:r>
          </w:p>
          <w:p w14:paraId="29DA7240">
            <w:pPr>
              <w:spacing w:line="460" w:lineRule="exact"/>
              <w:ind w:firstLine="482" w:firstLineChars="200"/>
              <w:textAlignment w:val="center"/>
              <w:rPr>
                <w:rFonts w:hint="eastAsia" w:eastAsia="宋体"/>
                <w:b/>
                <w:bCs/>
                <w:color w:val="000000"/>
                <w:sz w:val="24"/>
                <w:szCs w:val="24"/>
                <w:lang w:eastAsia="zh-CN"/>
              </w:rPr>
            </w:pPr>
            <w:r>
              <w:rPr>
                <w:rFonts w:hint="eastAsia"/>
                <w:b/>
                <w:bCs/>
                <w:color w:val="000000"/>
                <w:sz w:val="24"/>
                <w:szCs w:val="24"/>
              </w:rPr>
              <w:t>1</w:t>
            </w:r>
            <w:r>
              <w:rPr>
                <w:b/>
                <w:bCs/>
                <w:color w:val="000000"/>
                <w:sz w:val="24"/>
                <w:szCs w:val="24"/>
              </w:rPr>
              <w:t>、</w:t>
            </w:r>
            <w:r>
              <w:rPr>
                <w:rFonts w:hint="eastAsia"/>
                <w:b/>
                <w:bCs/>
                <w:color w:val="000000"/>
                <w:sz w:val="24"/>
                <w:szCs w:val="24"/>
              </w:rPr>
              <w:t>请介绍</w:t>
            </w:r>
            <w:r>
              <w:rPr>
                <w:b/>
                <w:bCs/>
                <w:color w:val="000000"/>
                <w:sz w:val="24"/>
                <w:szCs w:val="24"/>
              </w:rPr>
              <w:t>公司</w:t>
            </w:r>
            <w:r>
              <w:rPr>
                <w:rFonts w:hint="eastAsia"/>
                <w:b/>
                <w:bCs/>
                <w:color w:val="000000"/>
                <w:sz w:val="24"/>
                <w:szCs w:val="24"/>
                <w:lang w:val="en-US" w:eastAsia="zh-CN"/>
              </w:rPr>
              <w:t>基本情况</w:t>
            </w:r>
          </w:p>
          <w:p w14:paraId="720BE6F5">
            <w:pPr>
              <w:widowControl/>
              <w:spacing w:line="360" w:lineRule="auto"/>
              <w:ind w:firstLine="480" w:firstLineChars="200"/>
              <w:rPr>
                <w:rFonts w:ascii="Times New Roman" w:hAnsi="Times New Roman" w:eastAsia="宋体" w:cs="Times New Roman"/>
                <w:sz w:val="24"/>
              </w:rPr>
            </w:pPr>
            <w:r>
              <w:rPr>
                <w:rFonts w:hint="eastAsia"/>
                <w:color w:val="000000"/>
                <w:sz w:val="24"/>
                <w:szCs w:val="24"/>
              </w:rPr>
              <w:t>回复：</w:t>
            </w:r>
            <w:r>
              <w:rPr>
                <w:rFonts w:hint="eastAsia" w:ascii="Times New Roman" w:hAnsi="Times New Roman" w:eastAsia="宋体" w:cs="Times New Roman"/>
                <w:sz w:val="24"/>
              </w:rPr>
              <w:t>龙高股份</w:t>
            </w:r>
            <w:r>
              <w:rPr>
                <w:rFonts w:ascii="Times New Roman" w:hAnsi="Times New Roman" w:eastAsia="宋体" w:cs="Times New Roman"/>
                <w:sz w:val="24"/>
              </w:rPr>
              <w:t>成立于2003年4月，2017年12月改制为股份公司，2021年4月16日在上海证券交易所主板挂牌上市。</w:t>
            </w:r>
          </w:p>
          <w:p w14:paraId="5F7AFDE3">
            <w:pPr>
              <w:widowControl/>
              <w:spacing w:line="360" w:lineRule="auto"/>
              <w:ind w:firstLine="480" w:firstLineChars="200"/>
              <w:rPr>
                <w:rFonts w:hint="eastAsia" w:ascii="Times New Roman" w:hAnsi="Times New Roman" w:eastAsia="宋体" w:cs="Times New Roman"/>
                <w:sz w:val="24"/>
              </w:rPr>
            </w:pPr>
            <w:r>
              <w:rPr>
                <w:rFonts w:ascii="Times New Roman" w:hAnsi="Times New Roman" w:eastAsia="宋体" w:cs="Times New Roman"/>
                <w:sz w:val="24"/>
              </w:rPr>
              <w:t>公司系全国陶瓷原料用高岭土生产供应基地，集采矿、选矿、研发、销售于一体的科技创新型企业</w:t>
            </w:r>
            <w:r>
              <w:rPr>
                <w:rFonts w:hint="eastAsia" w:ascii="Times New Roman" w:hAnsi="Times New Roman" w:eastAsia="宋体" w:cs="Times New Roman"/>
                <w:sz w:val="24"/>
              </w:rPr>
              <w:t>，</w:t>
            </w:r>
            <w:r>
              <w:rPr>
                <w:rFonts w:ascii="Times New Roman" w:hAnsi="Times New Roman" w:eastAsia="宋体" w:cs="Times New Roman"/>
                <w:sz w:val="24"/>
              </w:rPr>
              <w:t>拥有总探明原矿储量4,976.03万吨的龙岩东宫下高岭土矿独家开采权，截至2024年12月31日，东宫下高岭土矿保有资源储量3,028.04万吨，为国内特大型优质高岭土矿床，适宜露天开采</w:t>
            </w:r>
            <w:r>
              <w:rPr>
                <w:rFonts w:hint="eastAsia" w:ascii="Times New Roman" w:hAnsi="Times New Roman" w:eastAsia="宋体" w:cs="Times New Roman"/>
                <w:sz w:val="24"/>
              </w:rPr>
              <w:t>。</w:t>
            </w:r>
          </w:p>
          <w:p w14:paraId="1C20157E">
            <w:pPr>
              <w:spacing w:line="460" w:lineRule="exact"/>
              <w:ind w:firstLine="482" w:firstLineChars="200"/>
              <w:textAlignment w:val="center"/>
              <w:rPr>
                <w:rFonts w:hint="eastAsia"/>
                <w:b/>
                <w:bCs/>
                <w:color w:val="000000"/>
                <w:sz w:val="24"/>
                <w:szCs w:val="24"/>
                <w:lang w:val="en-US" w:eastAsia="zh-CN"/>
              </w:rPr>
            </w:pPr>
            <w:r>
              <w:rPr>
                <w:rFonts w:hint="eastAsia"/>
                <w:b/>
                <w:bCs/>
                <w:color w:val="000000"/>
                <w:sz w:val="24"/>
                <w:szCs w:val="24"/>
                <w:lang w:val="en-US" w:eastAsia="zh-CN"/>
              </w:rPr>
              <w:t>2、公司在高岭土行业处于什么水平？</w:t>
            </w:r>
          </w:p>
          <w:p w14:paraId="65817D0E">
            <w:pPr>
              <w:widowControl/>
              <w:spacing w:line="360" w:lineRule="auto"/>
              <w:ind w:firstLine="480" w:firstLineChars="200"/>
              <w:rPr>
                <w:rFonts w:hint="eastAsia"/>
                <w:color w:val="000000"/>
                <w:sz w:val="24"/>
                <w:szCs w:val="24"/>
              </w:rPr>
            </w:pPr>
            <w:r>
              <w:rPr>
                <w:rFonts w:hint="eastAsia"/>
                <w:color w:val="000000"/>
                <w:sz w:val="24"/>
                <w:szCs w:val="24"/>
                <w:lang w:val="en-US" w:eastAsia="zh-CN"/>
              </w:rPr>
              <w:t>回复：</w:t>
            </w:r>
            <w:r>
              <w:rPr>
                <w:rFonts w:hint="eastAsia"/>
                <w:color w:val="000000"/>
                <w:sz w:val="24"/>
                <w:szCs w:val="24"/>
              </w:rPr>
              <w:t>公司是福建省省级企业技术中心，国家级绿色矿山单位，获得“矿产资源节约与综合利用先进适用技术推广应用示范矿山”、“矿产资源节约与综合利用先进适用技术”等荣誉称号。</w:t>
            </w:r>
          </w:p>
          <w:p w14:paraId="26DECD39">
            <w:pPr>
              <w:widowControl/>
              <w:spacing w:line="360" w:lineRule="auto"/>
              <w:ind w:firstLine="480" w:firstLineChars="200"/>
              <w:rPr>
                <w:rFonts w:hint="eastAsia"/>
                <w:color w:val="000000"/>
                <w:sz w:val="24"/>
                <w:szCs w:val="24"/>
              </w:rPr>
            </w:pPr>
            <w:r>
              <w:rPr>
                <w:rFonts w:hint="eastAsia"/>
                <w:color w:val="000000"/>
                <w:sz w:val="24"/>
                <w:szCs w:val="24"/>
              </w:rPr>
              <w:t>2022年，</w:t>
            </w:r>
            <w:r>
              <w:rPr>
                <w:rFonts w:hint="eastAsia"/>
                <w:color w:val="000000"/>
                <w:sz w:val="24"/>
                <w:szCs w:val="24"/>
                <w:lang w:val="en-US" w:eastAsia="zh-CN"/>
              </w:rPr>
              <w:t>公司</w:t>
            </w:r>
            <w:r>
              <w:rPr>
                <w:rFonts w:hint="eastAsia"/>
                <w:color w:val="000000"/>
                <w:sz w:val="24"/>
                <w:szCs w:val="24"/>
              </w:rPr>
              <w:t>顺利通过国家高新技术企业认定，被中国非金属矿业工业协会授予“非金属矿行业绿色工厂”荣誉称号。</w:t>
            </w:r>
            <w:r>
              <w:rPr>
                <w:rFonts w:hint="eastAsia"/>
                <w:color w:val="000000"/>
                <w:sz w:val="24"/>
                <w:szCs w:val="24"/>
                <w:lang w:val="en-US" w:eastAsia="zh-CN"/>
              </w:rPr>
              <w:t>近日，公司成功通过复审，再次获得“高新技术企业”认定。</w:t>
            </w:r>
          </w:p>
          <w:p w14:paraId="3803BBB4">
            <w:pPr>
              <w:adjustRightInd w:val="0"/>
              <w:snapToGrid w:val="0"/>
              <w:spacing w:line="460" w:lineRule="exact"/>
              <w:ind w:firstLine="482" w:firstLineChars="200"/>
              <w:textAlignment w:val="center"/>
              <w:rPr>
                <w:b/>
                <w:bCs/>
                <w:color w:val="000000"/>
                <w:sz w:val="24"/>
                <w:szCs w:val="24"/>
              </w:rPr>
            </w:pPr>
            <w:r>
              <w:rPr>
                <w:rFonts w:hint="eastAsia"/>
                <w:b/>
                <w:bCs/>
                <w:color w:val="000000"/>
                <w:sz w:val="24"/>
                <w:szCs w:val="24"/>
                <w:lang w:val="en-US" w:eastAsia="zh-CN"/>
              </w:rPr>
              <w:t>3</w:t>
            </w:r>
            <w:r>
              <w:rPr>
                <w:rFonts w:hint="eastAsia"/>
                <w:b/>
                <w:bCs/>
                <w:color w:val="000000"/>
                <w:sz w:val="24"/>
                <w:szCs w:val="24"/>
              </w:rPr>
              <w:t>、请说明公司主营业务成本构成</w:t>
            </w:r>
          </w:p>
          <w:p w14:paraId="791266C3">
            <w:pPr>
              <w:adjustRightInd w:val="0"/>
              <w:snapToGrid w:val="0"/>
              <w:spacing w:line="460" w:lineRule="exact"/>
              <w:ind w:firstLine="480" w:firstLineChars="200"/>
              <w:textAlignment w:val="center"/>
              <w:rPr>
                <w:color w:val="000000"/>
                <w:sz w:val="24"/>
                <w:szCs w:val="24"/>
              </w:rPr>
            </w:pPr>
            <w:r>
              <w:rPr>
                <w:rFonts w:hint="eastAsia"/>
                <w:color w:val="000000"/>
                <w:sz w:val="24"/>
                <w:szCs w:val="24"/>
              </w:rPr>
              <w:t>回复：公司矿山采用露天开采方式，开采成本较低，主营业务成本主要包括采剥机械费用、人工费用、设备折旧摊销费用、安全管理费用等。</w:t>
            </w:r>
          </w:p>
          <w:p w14:paraId="33772D97">
            <w:pPr>
              <w:spacing w:line="460" w:lineRule="exact"/>
              <w:ind w:firstLine="482" w:firstLineChars="200"/>
              <w:textAlignment w:val="center"/>
              <w:rPr>
                <w:b/>
                <w:bCs/>
                <w:color w:val="000000"/>
                <w:sz w:val="24"/>
                <w:szCs w:val="24"/>
              </w:rPr>
            </w:pPr>
            <w:r>
              <w:rPr>
                <w:rFonts w:hint="eastAsia"/>
                <w:b/>
                <w:bCs/>
                <w:color w:val="000000"/>
                <w:sz w:val="24"/>
                <w:szCs w:val="24"/>
                <w:lang w:val="en-US" w:eastAsia="zh-CN"/>
              </w:rPr>
              <w:t>4</w:t>
            </w:r>
            <w:r>
              <w:rPr>
                <w:rFonts w:hint="eastAsia"/>
                <w:b/>
                <w:bCs/>
                <w:color w:val="000000"/>
                <w:sz w:val="24"/>
                <w:szCs w:val="24"/>
              </w:rPr>
              <w:t>、公司主要客户是哪些群体？分布在哪些省市？</w:t>
            </w:r>
          </w:p>
          <w:p w14:paraId="1FA25B2E">
            <w:pPr>
              <w:widowControl/>
              <w:spacing w:line="460" w:lineRule="exact"/>
              <w:ind w:firstLine="480" w:firstLineChars="200"/>
              <w:textAlignment w:val="center"/>
              <w:rPr>
                <w:rFonts w:hint="eastAsia"/>
                <w:color w:val="000000"/>
                <w:sz w:val="24"/>
                <w:szCs w:val="24"/>
              </w:rPr>
            </w:pPr>
            <w:r>
              <w:rPr>
                <w:rFonts w:hint="eastAsia"/>
                <w:color w:val="000000"/>
                <w:sz w:val="24"/>
                <w:szCs w:val="24"/>
              </w:rPr>
              <w:t>回复：公司高岭土属于非煤系高岭土，公司高岭土产品具有自然白度高、杂质含量低、烧成白度和强度高、成瓷性能好等优点，是中、高档日用陶瓷、工艺美术瓷和高档建筑陶瓷的优质原材料。</w:t>
            </w:r>
          </w:p>
          <w:p w14:paraId="38A10C9A">
            <w:pPr>
              <w:widowControl/>
              <w:spacing w:line="460" w:lineRule="exact"/>
              <w:ind w:firstLine="480" w:firstLineChars="200"/>
              <w:textAlignment w:val="center"/>
              <w:rPr>
                <w:color w:val="000000"/>
                <w:sz w:val="24"/>
                <w:szCs w:val="24"/>
              </w:rPr>
            </w:pPr>
            <w:r>
              <w:rPr>
                <w:rFonts w:hint="eastAsia"/>
                <w:color w:val="000000"/>
                <w:sz w:val="24"/>
                <w:szCs w:val="24"/>
              </w:rPr>
              <w:t>公司客户包含中、高档日用陶瓷、工艺美术瓷和高档建筑陶瓷等产业客户，主要客户群体分布在福建省、广东省、山东省等国内重要陶瓷产区。工艺美术瓷与日用陶瓷对陶瓷产品品质要求高，主要采购精矿产品和原矿产品；建筑陶瓷与卫生洁具产量大，质量要求较低，主要采购综合利用产品。</w:t>
            </w:r>
          </w:p>
          <w:p w14:paraId="177507AE">
            <w:pPr>
              <w:adjustRightInd w:val="0"/>
              <w:snapToGrid w:val="0"/>
              <w:spacing w:line="460" w:lineRule="exact"/>
              <w:ind w:firstLine="482" w:firstLineChars="200"/>
              <w:textAlignment w:val="center"/>
              <w:rPr>
                <w:b/>
                <w:bCs/>
                <w:color w:val="000000"/>
                <w:sz w:val="24"/>
                <w:szCs w:val="24"/>
              </w:rPr>
            </w:pPr>
            <w:r>
              <w:rPr>
                <w:rFonts w:hint="eastAsia" w:cs="Times New Roman" w:eastAsiaTheme="majorEastAsia"/>
                <w:b/>
                <w:bCs/>
                <w:sz w:val="24"/>
                <w:szCs w:val="24"/>
                <w:lang w:val="en-US" w:eastAsia="zh-CN"/>
              </w:rPr>
              <w:t>5、</w:t>
            </w:r>
            <w:r>
              <w:rPr>
                <w:rFonts w:hint="eastAsia"/>
                <w:b/>
                <w:bCs/>
                <w:color w:val="000000"/>
                <w:sz w:val="24"/>
                <w:szCs w:val="24"/>
              </w:rPr>
              <w:t>公司的发展战略是什么方向？</w:t>
            </w:r>
          </w:p>
          <w:p w14:paraId="48116C3D">
            <w:pPr>
              <w:spacing w:line="460" w:lineRule="exact"/>
              <w:ind w:firstLine="480" w:firstLineChars="200"/>
              <w:textAlignment w:val="center"/>
              <w:rPr>
                <w:color w:val="000000"/>
                <w:sz w:val="24"/>
                <w:szCs w:val="24"/>
              </w:rPr>
            </w:pPr>
            <w:r>
              <w:rPr>
                <w:rFonts w:hint="eastAsia"/>
                <w:color w:val="000000"/>
                <w:sz w:val="24"/>
                <w:szCs w:val="24"/>
              </w:rPr>
              <w:t>回复：</w:t>
            </w:r>
            <w:r>
              <w:rPr>
                <w:rFonts w:ascii="宋体" w:hAnsi="宋体" w:cs="宋体"/>
                <w:sz w:val="24"/>
                <w:szCs w:val="24"/>
              </w:rPr>
              <w:t>公司以打造全国高岭土行业领军企业和非金属矿行业龙头企业为战略目标，积极谋划企业长远发展，坚持“深度开发，综合利用，做大产业群，延伸非金属矿产业链”的发展方向，制定了“产业延伸走下去，资源布局走出去”并举、“实业经营+资本运营”并重的发展策略</w:t>
            </w:r>
            <w:r>
              <w:rPr>
                <w:rFonts w:hint="eastAsia"/>
                <w:color w:val="000000"/>
                <w:sz w:val="24"/>
                <w:szCs w:val="24"/>
              </w:rPr>
              <w:t>。</w:t>
            </w:r>
          </w:p>
          <w:p w14:paraId="634E66F9">
            <w:pPr>
              <w:widowControl/>
              <w:spacing w:line="360" w:lineRule="auto"/>
              <w:ind w:firstLine="480" w:firstLineChars="200"/>
              <w:rPr>
                <w:rFonts w:hint="eastAsia"/>
                <w:color w:val="000000"/>
                <w:sz w:val="24"/>
                <w:szCs w:val="24"/>
              </w:rPr>
            </w:pPr>
            <w:r>
              <w:rPr>
                <w:rFonts w:hint="eastAsia"/>
                <w:color w:val="000000"/>
                <w:sz w:val="24"/>
                <w:szCs w:val="24"/>
              </w:rPr>
              <w:t>未来几年，公司将继续秉持上述发展策略，借力资本市场，力争在对现有东宫下矿山资源“吃干榨净”，强化高岭土产品在行业内的领先优势地位，提高营收和净利水平的同时，积极寻找符合上市公司发展战略的优质投资项目，争取实现重大项目、重大资源投资并购新突破。一方面，公司将进一步增加包括但不限于高岭土、石灰石、萤石矿等非金属矿产资源储备。另一方面，公司将围绕非金属矿产业链延伸至</w:t>
            </w:r>
            <w:r>
              <w:rPr>
                <w:rFonts w:hint="eastAsia"/>
                <w:color w:val="000000"/>
                <w:sz w:val="24"/>
                <w:szCs w:val="24"/>
                <w:lang w:val="en-US" w:eastAsia="zh-CN"/>
              </w:rPr>
              <w:t>应用</w:t>
            </w:r>
            <w:r>
              <w:rPr>
                <w:rFonts w:hint="eastAsia"/>
                <w:color w:val="000000"/>
                <w:sz w:val="24"/>
                <w:szCs w:val="24"/>
              </w:rPr>
              <w:t>领域相关深加工产业，通过自主研发筹建、联合研发、合作经营、组建并购基金或产业引导基金参投、直接股权投资等方式并购非金属矿产业链上下游优质企业，重点关注高端陶瓷加工、石英石（硅）材料的深加工（高纯石英砂/板材方向）、膨润土材料的深加工、氟化工制造等新材料方向的多元化业务，努力拓展科技属性高及成长性稳定的新主业。</w:t>
            </w:r>
          </w:p>
          <w:p w14:paraId="7DFF0152">
            <w:pPr>
              <w:widowControl/>
              <w:spacing w:line="360" w:lineRule="auto"/>
              <w:ind w:firstLine="480" w:firstLineChars="200"/>
              <w:rPr>
                <w:rFonts w:hint="eastAsia" w:ascii="Times New Roman" w:hAnsi="Times New Roman" w:cs="Times New Roman" w:eastAsiaTheme="majorEastAsia"/>
                <w:b w:val="0"/>
                <w:bCs w:val="0"/>
                <w:sz w:val="24"/>
                <w:szCs w:val="24"/>
                <w:lang w:val="en-US" w:eastAsia="zh-CN"/>
              </w:rPr>
            </w:pPr>
          </w:p>
          <w:p w14:paraId="738626A9">
            <w:pPr>
              <w:widowControl/>
              <w:spacing w:line="360" w:lineRule="auto"/>
              <w:ind w:firstLine="480" w:firstLineChars="200"/>
              <w:rPr>
                <w:sz w:val="24"/>
              </w:rPr>
            </w:pPr>
          </w:p>
          <w:p w14:paraId="171CF94D">
            <w:pPr>
              <w:widowControl/>
              <w:spacing w:line="360" w:lineRule="auto"/>
              <w:ind w:firstLine="480" w:firstLineChars="200"/>
              <w:rPr>
                <w:sz w:val="24"/>
              </w:rPr>
            </w:pPr>
          </w:p>
          <w:p w14:paraId="4A226A1A">
            <w:pPr>
              <w:widowControl/>
              <w:spacing w:line="360" w:lineRule="auto"/>
              <w:ind w:firstLine="480" w:firstLineChars="200"/>
              <w:rPr>
                <w:sz w:val="24"/>
              </w:rPr>
            </w:pPr>
          </w:p>
          <w:p w14:paraId="3E11DB5E">
            <w:pPr>
              <w:widowControl/>
              <w:spacing w:line="360" w:lineRule="auto"/>
              <w:ind w:firstLine="480" w:firstLineChars="200"/>
              <w:rPr>
                <w:sz w:val="24"/>
              </w:rPr>
            </w:pPr>
          </w:p>
          <w:p w14:paraId="7F41D9AC">
            <w:pPr>
              <w:widowControl/>
              <w:spacing w:line="360" w:lineRule="auto"/>
              <w:rPr>
                <w:sz w:val="24"/>
              </w:rPr>
            </w:pPr>
          </w:p>
          <w:p w14:paraId="35315DF9">
            <w:pPr>
              <w:widowControl/>
              <w:spacing w:line="360" w:lineRule="auto"/>
              <w:rPr>
                <w:sz w:val="24"/>
              </w:rPr>
            </w:pPr>
          </w:p>
        </w:tc>
      </w:tr>
    </w:tbl>
    <w:p w14:paraId="76CB2574">
      <w:pPr>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851402"/>
    </w:sdtPr>
    <w:sdtContent>
      <w:p w14:paraId="6BC8FDB0">
        <w:pPr>
          <w:pStyle w:val="5"/>
          <w:jc w:val="center"/>
        </w:pPr>
        <w:r>
          <w:fldChar w:fldCharType="begin"/>
        </w:r>
        <w:r>
          <w:instrText xml:space="preserve">PAGE   \* MERGEFORMAT</w:instrText>
        </w:r>
        <w:r>
          <w:fldChar w:fldCharType="separate"/>
        </w:r>
        <w:r>
          <w:rPr>
            <w:lang w:val="zh-CN"/>
          </w:rPr>
          <w:t>3</w:t>
        </w:r>
        <w:r>
          <w:fldChar w:fldCharType="end"/>
        </w:r>
      </w:p>
    </w:sdtContent>
  </w:sdt>
  <w:p w14:paraId="18B93EB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2650B"/>
    <w:rsid w:val="00031BA3"/>
    <w:rsid w:val="000342E6"/>
    <w:rsid w:val="00036C31"/>
    <w:rsid w:val="00040B0B"/>
    <w:rsid w:val="00047460"/>
    <w:rsid w:val="000534FF"/>
    <w:rsid w:val="0005646B"/>
    <w:rsid w:val="0005684D"/>
    <w:rsid w:val="000570DC"/>
    <w:rsid w:val="00067C77"/>
    <w:rsid w:val="00071393"/>
    <w:rsid w:val="000850E0"/>
    <w:rsid w:val="00090D31"/>
    <w:rsid w:val="0009135D"/>
    <w:rsid w:val="00096403"/>
    <w:rsid w:val="000B1696"/>
    <w:rsid w:val="000B616A"/>
    <w:rsid w:val="000B6D71"/>
    <w:rsid w:val="000C0420"/>
    <w:rsid w:val="000C19BA"/>
    <w:rsid w:val="000C4C0C"/>
    <w:rsid w:val="000C52C5"/>
    <w:rsid w:val="000D4F18"/>
    <w:rsid w:val="000D6EEC"/>
    <w:rsid w:val="000E016E"/>
    <w:rsid w:val="000E03EE"/>
    <w:rsid w:val="000E1BDC"/>
    <w:rsid w:val="000E41FD"/>
    <w:rsid w:val="000E46D1"/>
    <w:rsid w:val="000F0620"/>
    <w:rsid w:val="000F2663"/>
    <w:rsid w:val="000F3C01"/>
    <w:rsid w:val="00101B6B"/>
    <w:rsid w:val="00101E58"/>
    <w:rsid w:val="001038FD"/>
    <w:rsid w:val="001049D8"/>
    <w:rsid w:val="00106D64"/>
    <w:rsid w:val="001224BC"/>
    <w:rsid w:val="00130FB3"/>
    <w:rsid w:val="00133DB5"/>
    <w:rsid w:val="00151D20"/>
    <w:rsid w:val="00157EA2"/>
    <w:rsid w:val="0016222E"/>
    <w:rsid w:val="001641E0"/>
    <w:rsid w:val="00172591"/>
    <w:rsid w:val="001877B1"/>
    <w:rsid w:val="001C19F3"/>
    <w:rsid w:val="001D0D0B"/>
    <w:rsid w:val="001E3FA8"/>
    <w:rsid w:val="001E4AF9"/>
    <w:rsid w:val="001F4C14"/>
    <w:rsid w:val="0020392E"/>
    <w:rsid w:val="00204EEF"/>
    <w:rsid w:val="00215B8A"/>
    <w:rsid w:val="002339BD"/>
    <w:rsid w:val="002350AC"/>
    <w:rsid w:val="00236C10"/>
    <w:rsid w:val="00253294"/>
    <w:rsid w:val="0026345A"/>
    <w:rsid w:val="00264E51"/>
    <w:rsid w:val="00267812"/>
    <w:rsid w:val="0029551D"/>
    <w:rsid w:val="00296064"/>
    <w:rsid w:val="00297CCB"/>
    <w:rsid w:val="002A6FA0"/>
    <w:rsid w:val="002B4E1F"/>
    <w:rsid w:val="002C1BE8"/>
    <w:rsid w:val="002C296A"/>
    <w:rsid w:val="002C5F88"/>
    <w:rsid w:val="002D0E08"/>
    <w:rsid w:val="002D4FC2"/>
    <w:rsid w:val="002F2C8D"/>
    <w:rsid w:val="002F2D8C"/>
    <w:rsid w:val="002F4F0B"/>
    <w:rsid w:val="0030167B"/>
    <w:rsid w:val="00310141"/>
    <w:rsid w:val="003129D3"/>
    <w:rsid w:val="00320369"/>
    <w:rsid w:val="00322DBA"/>
    <w:rsid w:val="00340453"/>
    <w:rsid w:val="003426EA"/>
    <w:rsid w:val="0034598B"/>
    <w:rsid w:val="003464F5"/>
    <w:rsid w:val="00347C77"/>
    <w:rsid w:val="00352BCB"/>
    <w:rsid w:val="00357937"/>
    <w:rsid w:val="00362520"/>
    <w:rsid w:val="00376505"/>
    <w:rsid w:val="00376B2F"/>
    <w:rsid w:val="00381E11"/>
    <w:rsid w:val="00385F13"/>
    <w:rsid w:val="00392FE0"/>
    <w:rsid w:val="003A53BB"/>
    <w:rsid w:val="003B0604"/>
    <w:rsid w:val="003B11B2"/>
    <w:rsid w:val="003B11C4"/>
    <w:rsid w:val="003B5EA6"/>
    <w:rsid w:val="003B6D9E"/>
    <w:rsid w:val="003B6F32"/>
    <w:rsid w:val="003C3E62"/>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585F"/>
    <w:rsid w:val="00427880"/>
    <w:rsid w:val="0043137E"/>
    <w:rsid w:val="00431EDB"/>
    <w:rsid w:val="00436CAC"/>
    <w:rsid w:val="00436D53"/>
    <w:rsid w:val="00450949"/>
    <w:rsid w:val="00451231"/>
    <w:rsid w:val="00455715"/>
    <w:rsid w:val="004641D2"/>
    <w:rsid w:val="00465195"/>
    <w:rsid w:val="0046708E"/>
    <w:rsid w:val="00474BFE"/>
    <w:rsid w:val="004758C4"/>
    <w:rsid w:val="00476BD9"/>
    <w:rsid w:val="004820FB"/>
    <w:rsid w:val="004845FF"/>
    <w:rsid w:val="004951B3"/>
    <w:rsid w:val="004952AC"/>
    <w:rsid w:val="00496355"/>
    <w:rsid w:val="004B1627"/>
    <w:rsid w:val="004B1C85"/>
    <w:rsid w:val="004B3739"/>
    <w:rsid w:val="004C12E4"/>
    <w:rsid w:val="004C666E"/>
    <w:rsid w:val="004D5D8B"/>
    <w:rsid w:val="004F0042"/>
    <w:rsid w:val="004F7080"/>
    <w:rsid w:val="005006EF"/>
    <w:rsid w:val="0050072E"/>
    <w:rsid w:val="0050512C"/>
    <w:rsid w:val="0050536A"/>
    <w:rsid w:val="005107BE"/>
    <w:rsid w:val="005307C1"/>
    <w:rsid w:val="00532060"/>
    <w:rsid w:val="00534EC7"/>
    <w:rsid w:val="00556A58"/>
    <w:rsid w:val="00563A78"/>
    <w:rsid w:val="005652E9"/>
    <w:rsid w:val="005675B4"/>
    <w:rsid w:val="00570820"/>
    <w:rsid w:val="00585797"/>
    <w:rsid w:val="00590E90"/>
    <w:rsid w:val="00591585"/>
    <w:rsid w:val="00593BFF"/>
    <w:rsid w:val="00594F2B"/>
    <w:rsid w:val="00595098"/>
    <w:rsid w:val="005B5E8B"/>
    <w:rsid w:val="005B60A9"/>
    <w:rsid w:val="005B71F1"/>
    <w:rsid w:val="005C3518"/>
    <w:rsid w:val="005C7B9D"/>
    <w:rsid w:val="005D5F2D"/>
    <w:rsid w:val="005D6FA2"/>
    <w:rsid w:val="005E4E09"/>
    <w:rsid w:val="005F15A9"/>
    <w:rsid w:val="005F229B"/>
    <w:rsid w:val="0060389B"/>
    <w:rsid w:val="00612FEE"/>
    <w:rsid w:val="00614381"/>
    <w:rsid w:val="00626F4A"/>
    <w:rsid w:val="006317A3"/>
    <w:rsid w:val="00640553"/>
    <w:rsid w:val="00643070"/>
    <w:rsid w:val="0064406A"/>
    <w:rsid w:val="006444E7"/>
    <w:rsid w:val="00651303"/>
    <w:rsid w:val="006529B5"/>
    <w:rsid w:val="00653185"/>
    <w:rsid w:val="00655CFE"/>
    <w:rsid w:val="00664B9B"/>
    <w:rsid w:val="006701A6"/>
    <w:rsid w:val="00672FE9"/>
    <w:rsid w:val="00681B40"/>
    <w:rsid w:val="0068649B"/>
    <w:rsid w:val="00695107"/>
    <w:rsid w:val="00696AAE"/>
    <w:rsid w:val="00697323"/>
    <w:rsid w:val="0069776F"/>
    <w:rsid w:val="00697FFD"/>
    <w:rsid w:val="006B4337"/>
    <w:rsid w:val="006B78C9"/>
    <w:rsid w:val="006B7EA5"/>
    <w:rsid w:val="006C7D25"/>
    <w:rsid w:val="006D3B78"/>
    <w:rsid w:val="006D5C12"/>
    <w:rsid w:val="006E09CB"/>
    <w:rsid w:val="006E359C"/>
    <w:rsid w:val="006F6D59"/>
    <w:rsid w:val="00700F95"/>
    <w:rsid w:val="00701E0D"/>
    <w:rsid w:val="00714657"/>
    <w:rsid w:val="00717CD8"/>
    <w:rsid w:val="007229E7"/>
    <w:rsid w:val="007259C2"/>
    <w:rsid w:val="00734314"/>
    <w:rsid w:val="00736E19"/>
    <w:rsid w:val="0074205A"/>
    <w:rsid w:val="007423AC"/>
    <w:rsid w:val="007459B0"/>
    <w:rsid w:val="00745D47"/>
    <w:rsid w:val="00751CCA"/>
    <w:rsid w:val="00756FD4"/>
    <w:rsid w:val="00760F70"/>
    <w:rsid w:val="00760F78"/>
    <w:rsid w:val="00764C7B"/>
    <w:rsid w:val="00772232"/>
    <w:rsid w:val="007767AC"/>
    <w:rsid w:val="00782B9A"/>
    <w:rsid w:val="007870FF"/>
    <w:rsid w:val="00794F7B"/>
    <w:rsid w:val="007954EA"/>
    <w:rsid w:val="007A438D"/>
    <w:rsid w:val="007A51E5"/>
    <w:rsid w:val="007A56FB"/>
    <w:rsid w:val="007B1D0B"/>
    <w:rsid w:val="007B444F"/>
    <w:rsid w:val="007C4E45"/>
    <w:rsid w:val="007D134E"/>
    <w:rsid w:val="007D2DDF"/>
    <w:rsid w:val="007D7159"/>
    <w:rsid w:val="007E6063"/>
    <w:rsid w:val="007E7E36"/>
    <w:rsid w:val="00801341"/>
    <w:rsid w:val="00803137"/>
    <w:rsid w:val="008101D5"/>
    <w:rsid w:val="008144B3"/>
    <w:rsid w:val="00814D71"/>
    <w:rsid w:val="00814EE5"/>
    <w:rsid w:val="008322D0"/>
    <w:rsid w:val="00832EA1"/>
    <w:rsid w:val="00834BC5"/>
    <w:rsid w:val="00837906"/>
    <w:rsid w:val="008445DE"/>
    <w:rsid w:val="00855980"/>
    <w:rsid w:val="00856D91"/>
    <w:rsid w:val="00857664"/>
    <w:rsid w:val="008729B5"/>
    <w:rsid w:val="0087479E"/>
    <w:rsid w:val="00877228"/>
    <w:rsid w:val="008840A3"/>
    <w:rsid w:val="00884AD7"/>
    <w:rsid w:val="00886A5F"/>
    <w:rsid w:val="00886B43"/>
    <w:rsid w:val="00893217"/>
    <w:rsid w:val="008963C2"/>
    <w:rsid w:val="00897A6D"/>
    <w:rsid w:val="008A0338"/>
    <w:rsid w:val="008A635E"/>
    <w:rsid w:val="008A6560"/>
    <w:rsid w:val="008B10A2"/>
    <w:rsid w:val="008B5311"/>
    <w:rsid w:val="008C2201"/>
    <w:rsid w:val="008C2CD5"/>
    <w:rsid w:val="008D0241"/>
    <w:rsid w:val="008D2AF4"/>
    <w:rsid w:val="008D61B4"/>
    <w:rsid w:val="008E25B5"/>
    <w:rsid w:val="008F2FA9"/>
    <w:rsid w:val="008F5B4F"/>
    <w:rsid w:val="008F5B7A"/>
    <w:rsid w:val="00901730"/>
    <w:rsid w:val="00910595"/>
    <w:rsid w:val="009211B2"/>
    <w:rsid w:val="0092649C"/>
    <w:rsid w:val="00934F6B"/>
    <w:rsid w:val="009446A2"/>
    <w:rsid w:val="00961296"/>
    <w:rsid w:val="00967C4A"/>
    <w:rsid w:val="009721D7"/>
    <w:rsid w:val="009748A9"/>
    <w:rsid w:val="00975E41"/>
    <w:rsid w:val="00982812"/>
    <w:rsid w:val="00986B61"/>
    <w:rsid w:val="009875A5"/>
    <w:rsid w:val="009A1142"/>
    <w:rsid w:val="009A46B3"/>
    <w:rsid w:val="009A7A77"/>
    <w:rsid w:val="009B0CE4"/>
    <w:rsid w:val="009B2449"/>
    <w:rsid w:val="009B3750"/>
    <w:rsid w:val="009B5F9C"/>
    <w:rsid w:val="009C0979"/>
    <w:rsid w:val="009C76A0"/>
    <w:rsid w:val="009C7949"/>
    <w:rsid w:val="009D090F"/>
    <w:rsid w:val="009D4ABA"/>
    <w:rsid w:val="009D50AC"/>
    <w:rsid w:val="009D7FF0"/>
    <w:rsid w:val="009F3620"/>
    <w:rsid w:val="009F442A"/>
    <w:rsid w:val="00A02E45"/>
    <w:rsid w:val="00A10272"/>
    <w:rsid w:val="00A10B2E"/>
    <w:rsid w:val="00A20B7D"/>
    <w:rsid w:val="00A32446"/>
    <w:rsid w:val="00A3486A"/>
    <w:rsid w:val="00A40573"/>
    <w:rsid w:val="00A462D8"/>
    <w:rsid w:val="00A5453E"/>
    <w:rsid w:val="00A71A0C"/>
    <w:rsid w:val="00A80829"/>
    <w:rsid w:val="00A92284"/>
    <w:rsid w:val="00AB489B"/>
    <w:rsid w:val="00AB49E7"/>
    <w:rsid w:val="00AB4F12"/>
    <w:rsid w:val="00AB70B2"/>
    <w:rsid w:val="00AC1EFF"/>
    <w:rsid w:val="00AC5C1A"/>
    <w:rsid w:val="00AC6D19"/>
    <w:rsid w:val="00AD1147"/>
    <w:rsid w:val="00AD47A5"/>
    <w:rsid w:val="00AF4B2E"/>
    <w:rsid w:val="00AF6CF6"/>
    <w:rsid w:val="00AF7AEF"/>
    <w:rsid w:val="00B04AC2"/>
    <w:rsid w:val="00B167A3"/>
    <w:rsid w:val="00B23C25"/>
    <w:rsid w:val="00B273EB"/>
    <w:rsid w:val="00B27F9A"/>
    <w:rsid w:val="00B618D8"/>
    <w:rsid w:val="00B6326B"/>
    <w:rsid w:val="00B63438"/>
    <w:rsid w:val="00B66AE9"/>
    <w:rsid w:val="00B740F3"/>
    <w:rsid w:val="00B756AB"/>
    <w:rsid w:val="00B76EE9"/>
    <w:rsid w:val="00B7749C"/>
    <w:rsid w:val="00B80FCD"/>
    <w:rsid w:val="00B81737"/>
    <w:rsid w:val="00B9363C"/>
    <w:rsid w:val="00BB0971"/>
    <w:rsid w:val="00BB28BF"/>
    <w:rsid w:val="00BC2613"/>
    <w:rsid w:val="00BC276E"/>
    <w:rsid w:val="00BC46B8"/>
    <w:rsid w:val="00BD0D22"/>
    <w:rsid w:val="00BD429E"/>
    <w:rsid w:val="00BD5C43"/>
    <w:rsid w:val="00BE4DEC"/>
    <w:rsid w:val="00BE5C1B"/>
    <w:rsid w:val="00BE79CF"/>
    <w:rsid w:val="00BF25FB"/>
    <w:rsid w:val="00C0464A"/>
    <w:rsid w:val="00C312C2"/>
    <w:rsid w:val="00C369ED"/>
    <w:rsid w:val="00C44FE4"/>
    <w:rsid w:val="00C52216"/>
    <w:rsid w:val="00C536CA"/>
    <w:rsid w:val="00C5504D"/>
    <w:rsid w:val="00C57BD2"/>
    <w:rsid w:val="00C608F8"/>
    <w:rsid w:val="00C6201B"/>
    <w:rsid w:val="00C72FDC"/>
    <w:rsid w:val="00C826B3"/>
    <w:rsid w:val="00C84FE7"/>
    <w:rsid w:val="00C925D1"/>
    <w:rsid w:val="00C958AE"/>
    <w:rsid w:val="00CA2592"/>
    <w:rsid w:val="00CA4537"/>
    <w:rsid w:val="00CA7701"/>
    <w:rsid w:val="00CB0A79"/>
    <w:rsid w:val="00CB38AE"/>
    <w:rsid w:val="00CB54C8"/>
    <w:rsid w:val="00CB7E82"/>
    <w:rsid w:val="00CC15A6"/>
    <w:rsid w:val="00CC1F6B"/>
    <w:rsid w:val="00CD0875"/>
    <w:rsid w:val="00CD7725"/>
    <w:rsid w:val="00CE547C"/>
    <w:rsid w:val="00CE6C8E"/>
    <w:rsid w:val="00CF24AA"/>
    <w:rsid w:val="00D045BD"/>
    <w:rsid w:val="00D06009"/>
    <w:rsid w:val="00D104FA"/>
    <w:rsid w:val="00D15ABE"/>
    <w:rsid w:val="00D308CB"/>
    <w:rsid w:val="00D33C3B"/>
    <w:rsid w:val="00D342D7"/>
    <w:rsid w:val="00D42D1A"/>
    <w:rsid w:val="00D55C69"/>
    <w:rsid w:val="00D5720F"/>
    <w:rsid w:val="00D666E2"/>
    <w:rsid w:val="00D84A00"/>
    <w:rsid w:val="00D95328"/>
    <w:rsid w:val="00D95DD7"/>
    <w:rsid w:val="00DA3C38"/>
    <w:rsid w:val="00DC01D3"/>
    <w:rsid w:val="00DC0D0B"/>
    <w:rsid w:val="00DC16DA"/>
    <w:rsid w:val="00DC3FD9"/>
    <w:rsid w:val="00DC4EF4"/>
    <w:rsid w:val="00DC5F9E"/>
    <w:rsid w:val="00DD5EED"/>
    <w:rsid w:val="00DD5F05"/>
    <w:rsid w:val="00DE1C1C"/>
    <w:rsid w:val="00DE3C2E"/>
    <w:rsid w:val="00DE5254"/>
    <w:rsid w:val="00DF669F"/>
    <w:rsid w:val="00E008AE"/>
    <w:rsid w:val="00E00D04"/>
    <w:rsid w:val="00E16149"/>
    <w:rsid w:val="00E248ED"/>
    <w:rsid w:val="00E4008F"/>
    <w:rsid w:val="00E42879"/>
    <w:rsid w:val="00E50B1C"/>
    <w:rsid w:val="00E515B4"/>
    <w:rsid w:val="00E51622"/>
    <w:rsid w:val="00E6640E"/>
    <w:rsid w:val="00E67637"/>
    <w:rsid w:val="00E67E6E"/>
    <w:rsid w:val="00E72347"/>
    <w:rsid w:val="00E73609"/>
    <w:rsid w:val="00E80253"/>
    <w:rsid w:val="00E86811"/>
    <w:rsid w:val="00E920B5"/>
    <w:rsid w:val="00E93B15"/>
    <w:rsid w:val="00EA47AD"/>
    <w:rsid w:val="00EB0F3A"/>
    <w:rsid w:val="00EB2B16"/>
    <w:rsid w:val="00EB5CDF"/>
    <w:rsid w:val="00EB6DC9"/>
    <w:rsid w:val="00EC3950"/>
    <w:rsid w:val="00EE681B"/>
    <w:rsid w:val="00EF49F9"/>
    <w:rsid w:val="00EF62A3"/>
    <w:rsid w:val="00EF7485"/>
    <w:rsid w:val="00F0499A"/>
    <w:rsid w:val="00F17B51"/>
    <w:rsid w:val="00F207DB"/>
    <w:rsid w:val="00F225F9"/>
    <w:rsid w:val="00F22C14"/>
    <w:rsid w:val="00F257CF"/>
    <w:rsid w:val="00F4097F"/>
    <w:rsid w:val="00F40C20"/>
    <w:rsid w:val="00F42A7B"/>
    <w:rsid w:val="00F51431"/>
    <w:rsid w:val="00F57F21"/>
    <w:rsid w:val="00F60335"/>
    <w:rsid w:val="00F61C39"/>
    <w:rsid w:val="00F63D93"/>
    <w:rsid w:val="00F706BB"/>
    <w:rsid w:val="00F70E42"/>
    <w:rsid w:val="00F71CF3"/>
    <w:rsid w:val="00F7681B"/>
    <w:rsid w:val="00F85252"/>
    <w:rsid w:val="00F85C28"/>
    <w:rsid w:val="00F93A6F"/>
    <w:rsid w:val="00F970A4"/>
    <w:rsid w:val="00F97CC5"/>
    <w:rsid w:val="00FA063F"/>
    <w:rsid w:val="00FB0856"/>
    <w:rsid w:val="00FB4B4C"/>
    <w:rsid w:val="00FB50E6"/>
    <w:rsid w:val="00FD3711"/>
    <w:rsid w:val="00FE0070"/>
    <w:rsid w:val="00FE28FB"/>
    <w:rsid w:val="00FE66FE"/>
    <w:rsid w:val="00FF078A"/>
    <w:rsid w:val="00FF3743"/>
    <w:rsid w:val="00FF525C"/>
    <w:rsid w:val="13B00EEA"/>
    <w:rsid w:val="1B20479F"/>
    <w:rsid w:val="1EE935FD"/>
    <w:rsid w:val="20852E30"/>
    <w:rsid w:val="248442A2"/>
    <w:rsid w:val="46820E34"/>
    <w:rsid w:val="4BBD059B"/>
    <w:rsid w:val="4E5F5456"/>
    <w:rsid w:val="4F381B84"/>
    <w:rsid w:val="56B643B6"/>
    <w:rsid w:val="627977F7"/>
    <w:rsid w:val="63901B74"/>
    <w:rsid w:val="729B44FA"/>
    <w:rsid w:val="77F42EED"/>
    <w:rsid w:val="7CF83C70"/>
    <w:rsid w:val="7DEE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annotation text"/>
    <w:basedOn w:val="1"/>
    <w:link w:val="16"/>
    <w:semiHidden/>
    <w:unhideWhenUsed/>
    <w:qFormat/>
    <w:uiPriority w:val="99"/>
    <w:pPr>
      <w:jc w:val="left"/>
    </w:pPr>
    <w:rPr>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paragraph" w:styleId="8">
    <w:name w:val="annotation subject"/>
    <w:basedOn w:val="3"/>
    <w:next w:val="3"/>
    <w:link w:val="18"/>
    <w:semiHidden/>
    <w:unhideWhenUsed/>
    <w:qFormat/>
    <w:uiPriority w:val="99"/>
    <w:rPr>
      <w:b/>
      <w:bCs/>
      <w:szCs w:val="20"/>
    </w:r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link w:val="3"/>
    <w:semiHidden/>
    <w:qFormat/>
    <w:uiPriority w:val="99"/>
    <w:rPr>
      <w:rFonts w:ascii="Times New Roman" w:hAnsi="Times New Roman" w:eastAsia="宋体" w:cs="Times New Roman"/>
      <w:szCs w:val="24"/>
    </w:rPr>
  </w:style>
  <w:style w:type="character" w:customStyle="1" w:styleId="17">
    <w:name w:val="批注框文本 字符"/>
    <w:basedOn w:val="10"/>
    <w:link w:val="4"/>
    <w:semiHidden/>
    <w:qFormat/>
    <w:uiPriority w:val="99"/>
    <w:rPr>
      <w:rFonts w:ascii="Times New Roman" w:hAnsi="Times New Roman" w:eastAsia="宋体" w:cs="Times New Roman"/>
      <w:sz w:val="18"/>
      <w:szCs w:val="18"/>
    </w:rPr>
  </w:style>
  <w:style w:type="character" w:customStyle="1" w:styleId="18">
    <w:name w:val="批注主题 字符"/>
    <w:basedOn w:val="16"/>
    <w:link w:val="8"/>
    <w:semiHidden/>
    <w:qFormat/>
    <w:uiPriority w:val="99"/>
    <w:rPr>
      <w:rFonts w:ascii="Times New Roman" w:hAnsi="Times New Roman" w:eastAsia="宋体" w:cs="Times New Roman"/>
      <w:b/>
      <w:bCs/>
      <w:szCs w:val="20"/>
    </w:rPr>
  </w:style>
  <w:style w:type="character" w:customStyle="1" w:styleId="19">
    <w:name w:val="ng-binding"/>
    <w:basedOn w:val="10"/>
    <w:qFormat/>
    <w:uiPriority w:val="0"/>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74B81-72C2-4AC1-A680-DCC53D19F431}">
  <ds:schemaRefs/>
</ds:datastoreItem>
</file>

<file path=customXml/itemProps2.xml><?xml version="1.0" encoding="utf-8"?>
<ds:datastoreItem xmlns:ds="http://schemas.openxmlformats.org/officeDocument/2006/customXml" ds:itemID="{4898DF68-7BEF-4E9F-A3FC-08FE69096638}">
  <ds:schemaRefs/>
</ds:datastoreItem>
</file>

<file path=customXml/itemProps3.xml><?xml version="1.0" encoding="utf-8"?>
<ds:datastoreItem xmlns:ds="http://schemas.openxmlformats.org/officeDocument/2006/customXml" ds:itemID="{F6BFC278-BEBC-42A5-B820-CCD868AC3039}">
  <ds:schemaRefs/>
</ds:datastoreItem>
</file>

<file path=customXml/itemProps4.xml><?xml version="1.0" encoding="utf-8"?>
<ds:datastoreItem xmlns:ds="http://schemas.openxmlformats.org/officeDocument/2006/customXml" ds:itemID="{ED4827DC-EA26-4EAA-8882-A01B9C6A816A}">
  <ds:schemaRefs/>
</ds:datastoreItem>
</file>

<file path=docProps/app.xml><?xml version="1.0" encoding="utf-8"?>
<Properties xmlns="http://schemas.openxmlformats.org/officeDocument/2006/extended-properties" xmlns:vt="http://schemas.openxmlformats.org/officeDocument/2006/docPropsVTypes">
  <Template>Normal</Template>
  <Pages>3</Pages>
  <Words>1333</Words>
  <Characters>1390</Characters>
  <Lines>13</Lines>
  <Paragraphs>3</Paragraphs>
  <TotalTime>2</TotalTime>
  <ScaleCrop>false</ScaleCrop>
  <LinksUpToDate>false</LinksUpToDate>
  <CharactersWithSpaces>1522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2021-06-01T10:38:00Z</dcterms:created>
  <dc:creator>Admin</dc:creator>
  <cp:lastModifiedBy>涂梦琦</cp:lastModifiedBy>
  <dcterms:modified xsi:type="dcterms:W3CDTF">2026-01-22T08:17:53Z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2052-12.1.0.24657</vt:lpwstr>
  </property>
  <property fmtid="{D5CDD505-2E9C-101B-9397-08002B2CF9AE}" pid="5" name="ICV">
    <vt:lpwstr>F5A938D67F40491CB5721CEF11A03C7F_12</vt:lpwstr>
  </property>
</Properties>
</file>