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0776" w14:textId="46160DDC" w:rsidR="00731C3E" w:rsidRPr="00731C3E" w:rsidRDefault="00731C3E" w:rsidP="00731C3E">
      <w:pPr>
        <w:jc w:val="center"/>
        <w:rPr>
          <w:rFonts w:ascii="宋体" w:hAnsi="宋体"/>
          <w:b/>
          <w:bCs/>
          <w:iCs/>
          <w:color w:val="000000"/>
          <w:sz w:val="24"/>
          <w:szCs w:val="24"/>
        </w:rPr>
      </w:pPr>
      <w:r w:rsidRPr="00731C3E">
        <w:rPr>
          <w:rFonts w:ascii="宋体" w:hAnsi="宋体" w:hint="eastAsia"/>
          <w:b/>
          <w:bCs/>
          <w:iCs/>
          <w:color w:val="000000"/>
          <w:sz w:val="24"/>
          <w:szCs w:val="24"/>
        </w:rPr>
        <w:t>证券代码：6</w:t>
      </w:r>
      <w:r w:rsidRPr="00731C3E">
        <w:rPr>
          <w:rFonts w:ascii="宋体" w:hAnsi="宋体"/>
          <w:b/>
          <w:bCs/>
          <w:iCs/>
          <w:color w:val="000000"/>
          <w:sz w:val="24"/>
          <w:szCs w:val="24"/>
        </w:rPr>
        <w:t xml:space="preserve">03958                                  </w:t>
      </w:r>
      <w:r w:rsidRPr="00731C3E">
        <w:rPr>
          <w:rFonts w:ascii="宋体" w:hAnsi="宋体" w:hint="eastAsia"/>
          <w:b/>
          <w:bCs/>
          <w:iCs/>
          <w:color w:val="000000"/>
          <w:sz w:val="24"/>
          <w:szCs w:val="24"/>
        </w:rPr>
        <w:t>证券简称：哈森股份</w:t>
      </w:r>
    </w:p>
    <w:p w14:paraId="3C7CC1A1" w14:textId="571E91BA" w:rsidR="001E4785" w:rsidRPr="007038C6" w:rsidRDefault="001E4785" w:rsidP="00731C3E">
      <w:pPr>
        <w:spacing w:beforeLines="100" w:before="312" w:line="400" w:lineRule="exact"/>
        <w:jc w:val="center"/>
        <w:rPr>
          <w:rFonts w:ascii="宋体" w:eastAsia="宋体" w:hAnsi="宋体" w:cs="Times New Roman"/>
          <w:b/>
          <w:bCs/>
          <w:iCs/>
          <w:color w:val="000000"/>
          <w:sz w:val="28"/>
          <w:szCs w:val="28"/>
        </w:rPr>
      </w:pPr>
      <w:r>
        <w:rPr>
          <w:rFonts w:ascii="宋体" w:hAnsi="宋体" w:hint="eastAsia"/>
          <w:b/>
          <w:bCs/>
          <w:iCs/>
          <w:color w:val="000000"/>
          <w:sz w:val="28"/>
          <w:szCs w:val="28"/>
        </w:rPr>
        <w:t>哈森商贸（中国）</w:t>
      </w:r>
      <w:r w:rsidRPr="007038C6">
        <w:rPr>
          <w:rFonts w:ascii="宋体" w:eastAsia="宋体" w:hAnsi="宋体" w:cs="Times New Roman" w:hint="eastAsia"/>
          <w:b/>
          <w:bCs/>
          <w:iCs/>
          <w:color w:val="000000"/>
          <w:sz w:val="28"/>
          <w:szCs w:val="28"/>
        </w:rPr>
        <w:t>股份有限公司</w:t>
      </w:r>
    </w:p>
    <w:p w14:paraId="191D18E7" w14:textId="77777777" w:rsidR="001E4785" w:rsidRPr="007038C6" w:rsidRDefault="001E4785" w:rsidP="00C4791A">
      <w:pPr>
        <w:spacing w:beforeLines="50" w:before="156" w:afterLines="50" w:after="156" w:line="400" w:lineRule="exact"/>
        <w:jc w:val="center"/>
        <w:rPr>
          <w:rFonts w:ascii="宋体" w:eastAsia="宋体" w:hAnsi="宋体" w:cs="Times New Roman"/>
          <w:b/>
          <w:bCs/>
          <w:iCs/>
          <w:color w:val="000000"/>
          <w:sz w:val="28"/>
          <w:szCs w:val="28"/>
        </w:rPr>
      </w:pPr>
      <w:r w:rsidRPr="007038C6">
        <w:rPr>
          <w:rFonts w:ascii="宋体" w:eastAsia="宋体" w:hAnsi="宋体" w:cs="Times New Roman" w:hint="eastAsia"/>
          <w:b/>
          <w:bCs/>
          <w:iCs/>
          <w:color w:val="000000"/>
          <w:sz w:val="28"/>
          <w:szCs w:val="28"/>
        </w:rPr>
        <w:t>投资者关系活动记录表</w:t>
      </w:r>
    </w:p>
    <w:p w14:paraId="0C51207A" w14:textId="2EB3E8BB" w:rsidR="001E4785" w:rsidRPr="00071106" w:rsidRDefault="001E4785" w:rsidP="001E4785">
      <w:pPr>
        <w:spacing w:line="400" w:lineRule="exact"/>
        <w:rPr>
          <w:rFonts w:ascii="宋体" w:eastAsia="宋体" w:hAnsi="宋体" w:cs="Times New Roman"/>
          <w:b/>
          <w:bCs/>
          <w:iCs/>
          <w:color w:val="000000"/>
          <w:sz w:val="24"/>
        </w:rPr>
      </w:pPr>
      <w:r w:rsidRPr="007038C6">
        <w:rPr>
          <w:rFonts w:ascii="宋体" w:eastAsia="宋体" w:hAnsi="宋体" w:cs="Times New Roman" w:hint="eastAsia"/>
          <w:bCs/>
          <w:iCs/>
          <w:color w:val="000000"/>
          <w:sz w:val="24"/>
        </w:rPr>
        <w:t xml:space="preserve">                                                      </w:t>
      </w:r>
      <w:r w:rsidRPr="00071106">
        <w:rPr>
          <w:rFonts w:ascii="宋体" w:eastAsia="宋体" w:hAnsi="宋体" w:cs="Times New Roman" w:hint="eastAsia"/>
          <w:b/>
          <w:bCs/>
          <w:iCs/>
          <w:color w:val="000000"/>
          <w:sz w:val="24"/>
        </w:rPr>
        <w:t>编号：</w:t>
      </w:r>
      <w:r w:rsidR="00A74F8A">
        <w:rPr>
          <w:rFonts w:ascii="宋体" w:eastAsia="宋体" w:hAnsi="宋体" w:cs="Times New Roman" w:hint="eastAsia"/>
          <w:b/>
          <w:bCs/>
          <w:iCs/>
          <w:color w:val="000000"/>
          <w:sz w:val="24"/>
        </w:rPr>
        <w:t>2</w:t>
      </w:r>
      <w:r w:rsidR="00A74F8A">
        <w:rPr>
          <w:rFonts w:ascii="宋体" w:eastAsia="宋体" w:hAnsi="宋体" w:cs="Times New Roman"/>
          <w:b/>
          <w:bCs/>
          <w:iCs/>
          <w:color w:val="000000"/>
          <w:sz w:val="24"/>
        </w:rPr>
        <w:t>026-001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854"/>
      </w:tblGrid>
      <w:tr w:rsidR="001E4785" w:rsidRPr="006F1B08" w14:paraId="63CCE56B" w14:textId="77777777" w:rsidTr="00F22961">
        <w:tc>
          <w:tcPr>
            <w:tcW w:w="1668" w:type="dxa"/>
            <w:vAlign w:val="center"/>
          </w:tcPr>
          <w:p w14:paraId="1F579188" w14:textId="77777777" w:rsidR="00F22961" w:rsidRPr="0020571F" w:rsidRDefault="001E4785"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投资者关系</w:t>
            </w:r>
          </w:p>
          <w:p w14:paraId="7D76E47F" w14:textId="77777777" w:rsidR="001E4785" w:rsidRPr="0020571F" w:rsidRDefault="001E4785"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活动类别</w:t>
            </w:r>
          </w:p>
          <w:p w14:paraId="5528D106" w14:textId="77777777" w:rsidR="001E4785" w:rsidRPr="0020571F" w:rsidRDefault="001E4785" w:rsidP="00114E69">
            <w:pPr>
              <w:spacing w:line="276" w:lineRule="auto"/>
              <w:rPr>
                <w:rFonts w:ascii="宋体" w:eastAsia="宋体" w:hAnsi="宋体" w:cs="Times New Roman"/>
                <w:iCs/>
                <w:color w:val="000000"/>
                <w:sz w:val="24"/>
              </w:rPr>
            </w:pPr>
          </w:p>
        </w:tc>
        <w:tc>
          <w:tcPr>
            <w:tcW w:w="6854" w:type="dxa"/>
          </w:tcPr>
          <w:p w14:paraId="78C15365" w14:textId="20D862C3" w:rsidR="00882FD5" w:rsidRPr="008D28F0" w:rsidRDefault="00753FA0" w:rsidP="006A38A4">
            <w:pPr>
              <w:spacing w:line="480" w:lineRule="atLeast"/>
              <w:rPr>
                <w:rFonts w:ascii="宋体" w:eastAsia="宋体" w:hAnsi="宋体" w:cs="Times New Roman"/>
                <w:szCs w:val="21"/>
              </w:rPr>
            </w:pPr>
            <w:r w:rsidRPr="008D28F0">
              <w:rPr>
                <w:rFonts w:ascii="宋体" w:eastAsia="宋体" w:hAnsi="宋体" w:cs="Times New Roman" w:hint="eastAsia"/>
                <w:szCs w:val="21"/>
              </w:rPr>
              <w:t>√</w:t>
            </w:r>
            <w:r w:rsidR="001E4785" w:rsidRPr="008D28F0">
              <w:rPr>
                <w:rFonts w:ascii="宋体" w:eastAsia="宋体" w:hAnsi="宋体" w:cs="Times New Roman" w:hint="eastAsia"/>
                <w:szCs w:val="21"/>
              </w:rPr>
              <w:t xml:space="preserve">特定对象调研     </w:t>
            </w:r>
            <w:r w:rsidR="001E4785" w:rsidRPr="008D28F0">
              <w:rPr>
                <w:rFonts w:ascii="宋体" w:eastAsia="宋体" w:hAnsi="宋体" w:cs="Times New Roman" w:hint="eastAsia"/>
                <w:bCs/>
                <w:iCs/>
                <w:szCs w:val="21"/>
              </w:rPr>
              <w:t>□</w:t>
            </w:r>
            <w:r w:rsidR="001E4785" w:rsidRPr="008D28F0">
              <w:rPr>
                <w:rFonts w:ascii="宋体" w:eastAsia="宋体" w:hAnsi="宋体" w:cs="Times New Roman" w:hint="eastAsia"/>
                <w:szCs w:val="21"/>
              </w:rPr>
              <w:t>分析师会议</w:t>
            </w:r>
            <w:r w:rsidR="00882FD5" w:rsidRPr="008D28F0">
              <w:rPr>
                <w:rFonts w:ascii="宋体" w:eastAsia="宋体" w:hAnsi="宋体" w:cs="Times New Roman" w:hint="eastAsia"/>
                <w:szCs w:val="21"/>
              </w:rPr>
              <w:t xml:space="preserve"> </w:t>
            </w:r>
            <w:r w:rsidR="00882FD5" w:rsidRPr="008D28F0">
              <w:rPr>
                <w:rFonts w:ascii="宋体" w:eastAsia="宋体" w:hAnsi="宋体" w:cs="Times New Roman"/>
                <w:szCs w:val="21"/>
              </w:rPr>
              <w:t xml:space="preserve">   </w:t>
            </w:r>
            <w:r w:rsidR="00882FD5" w:rsidRPr="008D28F0">
              <w:rPr>
                <w:rFonts w:ascii="宋体" w:eastAsia="宋体" w:hAnsi="宋体" w:cs="Times New Roman" w:hint="eastAsia"/>
                <w:szCs w:val="21"/>
              </w:rPr>
              <w:t xml:space="preserve"> </w:t>
            </w:r>
            <w:r w:rsidR="00882FD5" w:rsidRPr="008D28F0">
              <w:rPr>
                <w:rFonts w:ascii="宋体" w:eastAsia="宋体" w:hAnsi="宋体" w:cs="Times New Roman"/>
                <w:szCs w:val="21"/>
              </w:rPr>
              <w:t xml:space="preserve"> </w:t>
            </w:r>
            <w:r w:rsidR="001E4785" w:rsidRPr="008D28F0">
              <w:rPr>
                <w:rFonts w:ascii="宋体" w:eastAsia="宋体" w:hAnsi="宋体" w:cs="Times New Roman" w:hint="eastAsia"/>
                <w:bCs/>
                <w:iCs/>
                <w:szCs w:val="21"/>
              </w:rPr>
              <w:t>□</w:t>
            </w:r>
            <w:r w:rsidR="001E4785" w:rsidRPr="008D28F0">
              <w:rPr>
                <w:rFonts w:ascii="宋体" w:eastAsia="宋体" w:hAnsi="宋体" w:cs="Times New Roman" w:hint="eastAsia"/>
                <w:szCs w:val="21"/>
              </w:rPr>
              <w:t>媒体采访</w:t>
            </w:r>
          </w:p>
          <w:p w14:paraId="29CF32AF" w14:textId="0FD9BE51" w:rsidR="001E4785" w:rsidRPr="008D28F0" w:rsidRDefault="001E4785" w:rsidP="006A38A4">
            <w:pPr>
              <w:spacing w:line="480" w:lineRule="atLeast"/>
              <w:rPr>
                <w:rFonts w:ascii="宋体" w:eastAsia="宋体" w:hAnsi="宋体" w:cs="Times New Roman"/>
                <w:bCs/>
                <w:iCs/>
                <w:szCs w:val="21"/>
              </w:rPr>
            </w:pPr>
            <w:r w:rsidRPr="008D28F0">
              <w:rPr>
                <w:rFonts w:ascii="宋体" w:eastAsia="宋体" w:hAnsi="宋体" w:cs="Times New Roman" w:hint="eastAsia"/>
                <w:bCs/>
                <w:iCs/>
                <w:szCs w:val="21"/>
              </w:rPr>
              <w:t>□</w:t>
            </w:r>
            <w:r w:rsidRPr="008D28F0">
              <w:rPr>
                <w:rFonts w:ascii="宋体" w:eastAsia="宋体" w:hAnsi="宋体" w:cs="Times New Roman" w:hint="eastAsia"/>
                <w:szCs w:val="21"/>
              </w:rPr>
              <w:t>业绩说明会</w:t>
            </w:r>
            <w:r w:rsidR="00882FD5" w:rsidRPr="008D28F0">
              <w:rPr>
                <w:rFonts w:ascii="宋体" w:eastAsia="宋体" w:hAnsi="宋体" w:cs="Times New Roman" w:hint="eastAsia"/>
                <w:szCs w:val="21"/>
              </w:rPr>
              <w:t xml:space="preserve"> </w:t>
            </w:r>
            <w:r w:rsidR="00882FD5" w:rsidRPr="008D28F0">
              <w:rPr>
                <w:rFonts w:ascii="宋体" w:eastAsia="宋体" w:hAnsi="宋体" w:cs="Times New Roman"/>
                <w:szCs w:val="21"/>
              </w:rPr>
              <w:t xml:space="preserve">      </w:t>
            </w:r>
            <w:r w:rsidRPr="008D28F0">
              <w:rPr>
                <w:rFonts w:ascii="宋体" w:eastAsia="宋体" w:hAnsi="宋体" w:cs="Times New Roman" w:hint="eastAsia"/>
                <w:bCs/>
                <w:iCs/>
                <w:szCs w:val="21"/>
              </w:rPr>
              <w:t>□</w:t>
            </w:r>
            <w:r w:rsidRPr="008D28F0">
              <w:rPr>
                <w:rFonts w:ascii="宋体" w:eastAsia="宋体" w:hAnsi="宋体" w:cs="Times New Roman" w:hint="eastAsia"/>
                <w:szCs w:val="21"/>
              </w:rPr>
              <w:t xml:space="preserve">新闻发布会      </w:t>
            </w:r>
            <w:r w:rsidRPr="008D28F0">
              <w:rPr>
                <w:rFonts w:ascii="宋体" w:eastAsia="宋体" w:hAnsi="宋体" w:cs="Times New Roman" w:hint="eastAsia"/>
                <w:bCs/>
                <w:iCs/>
                <w:szCs w:val="21"/>
              </w:rPr>
              <w:t>□</w:t>
            </w:r>
            <w:r w:rsidRPr="008D28F0">
              <w:rPr>
                <w:rFonts w:ascii="宋体" w:eastAsia="宋体" w:hAnsi="宋体" w:cs="Times New Roman" w:hint="eastAsia"/>
                <w:szCs w:val="21"/>
              </w:rPr>
              <w:t>路演活动</w:t>
            </w:r>
          </w:p>
          <w:p w14:paraId="5BD05EAC" w14:textId="3336AD47" w:rsidR="001E4785" w:rsidRPr="00467569" w:rsidRDefault="00B75430" w:rsidP="00B30556">
            <w:pPr>
              <w:tabs>
                <w:tab w:val="left" w:pos="2685"/>
                <w:tab w:val="center" w:pos="3199"/>
              </w:tabs>
              <w:spacing w:line="480" w:lineRule="atLeast"/>
              <w:rPr>
                <w:rFonts w:ascii="宋体" w:eastAsia="宋体" w:hAnsi="宋体" w:cs="Times New Roman"/>
                <w:bCs/>
                <w:iCs/>
                <w:color w:val="FF0000"/>
                <w:sz w:val="24"/>
              </w:rPr>
            </w:pPr>
            <w:r w:rsidRPr="008D28F0">
              <w:rPr>
                <w:rFonts w:ascii="宋体" w:eastAsia="宋体" w:hAnsi="宋体" w:cs="Times New Roman" w:hint="eastAsia"/>
                <w:bCs/>
                <w:iCs/>
                <w:szCs w:val="21"/>
              </w:rPr>
              <w:t>□</w:t>
            </w:r>
            <w:r w:rsidR="00FB26D0" w:rsidRPr="008D28F0">
              <w:rPr>
                <w:rFonts w:ascii="宋体" w:eastAsia="宋体" w:hAnsi="宋体" w:cs="Times New Roman" w:hint="eastAsia"/>
                <w:bCs/>
                <w:iCs/>
                <w:szCs w:val="21"/>
              </w:rPr>
              <w:t>现场</w:t>
            </w:r>
            <w:r w:rsidR="00E049C7" w:rsidRPr="008D28F0">
              <w:rPr>
                <w:rFonts w:ascii="宋体" w:eastAsia="宋体" w:hAnsi="宋体" w:cs="Times New Roman" w:hint="eastAsia"/>
                <w:szCs w:val="21"/>
              </w:rPr>
              <w:t>参观</w:t>
            </w:r>
            <w:r w:rsidR="00572897" w:rsidRPr="008D28F0">
              <w:rPr>
                <w:rFonts w:ascii="宋体" w:eastAsia="宋体" w:hAnsi="宋体" w:cs="Times New Roman" w:hint="eastAsia"/>
                <w:szCs w:val="21"/>
              </w:rPr>
              <w:t xml:space="preserve"> </w:t>
            </w:r>
            <w:r w:rsidR="00B30556" w:rsidRPr="008D28F0">
              <w:rPr>
                <w:rFonts w:ascii="宋体" w:eastAsia="宋体" w:hAnsi="宋体" w:cs="Times New Roman"/>
                <w:szCs w:val="21"/>
              </w:rPr>
              <w:t xml:space="preserve">        </w:t>
            </w:r>
            <w:r w:rsidR="001E4785" w:rsidRPr="008D28F0">
              <w:rPr>
                <w:rFonts w:ascii="宋体" w:eastAsia="宋体" w:hAnsi="宋体" w:cs="Times New Roman" w:hint="eastAsia"/>
                <w:bCs/>
                <w:iCs/>
                <w:szCs w:val="21"/>
              </w:rPr>
              <w:t>□</w:t>
            </w:r>
            <w:r w:rsidR="001E4785" w:rsidRPr="008D28F0">
              <w:rPr>
                <w:rFonts w:ascii="宋体" w:eastAsia="宋体" w:hAnsi="宋体" w:cs="Times New Roman" w:hint="eastAsia"/>
                <w:szCs w:val="21"/>
              </w:rPr>
              <w:t>其他</w:t>
            </w:r>
          </w:p>
        </w:tc>
      </w:tr>
      <w:tr w:rsidR="001E4785" w:rsidRPr="006F1B08" w14:paraId="60C4FA2A" w14:textId="77777777" w:rsidTr="007D2BBA">
        <w:trPr>
          <w:trHeight w:val="1217"/>
        </w:trPr>
        <w:tc>
          <w:tcPr>
            <w:tcW w:w="1668" w:type="dxa"/>
            <w:vAlign w:val="center"/>
          </w:tcPr>
          <w:p w14:paraId="468A1A27" w14:textId="0A1CBFDB" w:rsidR="001E4785" w:rsidRPr="0020571F" w:rsidRDefault="001E4785"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参与单位名称及人员</w:t>
            </w:r>
          </w:p>
        </w:tc>
        <w:tc>
          <w:tcPr>
            <w:tcW w:w="6854" w:type="dxa"/>
            <w:vAlign w:val="center"/>
          </w:tcPr>
          <w:p w14:paraId="153BCD0A" w14:textId="3B83F03C" w:rsidR="004C3BD7" w:rsidRDefault="004C3BD7" w:rsidP="00F45C30">
            <w:pPr>
              <w:spacing w:line="480" w:lineRule="atLeast"/>
              <w:rPr>
                <w:rFonts w:ascii="宋体" w:eastAsia="宋体" w:hAnsi="宋体" w:cs="Times New Roman"/>
                <w:bCs/>
                <w:iCs/>
                <w:sz w:val="24"/>
              </w:rPr>
            </w:pPr>
            <w:r>
              <w:rPr>
                <w:rFonts w:ascii="宋体" w:eastAsia="宋体" w:hAnsi="宋体" w:cs="Times New Roman" w:hint="eastAsia"/>
                <w:bCs/>
                <w:iCs/>
                <w:sz w:val="24"/>
              </w:rPr>
              <w:t>浙商证券</w:t>
            </w:r>
            <w:r w:rsidR="00C347B5">
              <w:rPr>
                <w:rFonts w:ascii="宋体" w:eastAsia="宋体" w:hAnsi="宋体" w:cs="Times New Roman" w:hint="eastAsia"/>
                <w:bCs/>
                <w:iCs/>
                <w:sz w:val="24"/>
              </w:rPr>
              <w:t>马远方</w:t>
            </w:r>
            <w:r>
              <w:rPr>
                <w:rFonts w:ascii="宋体" w:eastAsia="宋体" w:hAnsi="宋体" w:cs="Times New Roman" w:hint="eastAsia"/>
                <w:bCs/>
                <w:iCs/>
                <w:sz w:val="24"/>
              </w:rPr>
              <w:t>、钱洁磊</w:t>
            </w:r>
            <w:r w:rsidR="00E61F59">
              <w:rPr>
                <w:rFonts w:ascii="宋体" w:eastAsia="宋体" w:hAnsi="宋体" w:cs="Times New Roman" w:hint="eastAsia"/>
                <w:bCs/>
                <w:iCs/>
                <w:sz w:val="24"/>
              </w:rPr>
              <w:t xml:space="preserve"> </w:t>
            </w:r>
            <w:r w:rsidR="00E61F59">
              <w:rPr>
                <w:rFonts w:ascii="宋体" w:eastAsia="宋体" w:hAnsi="宋体" w:cs="Times New Roman"/>
                <w:bCs/>
                <w:iCs/>
                <w:sz w:val="24"/>
              </w:rPr>
              <w:t xml:space="preserve">         </w:t>
            </w:r>
            <w:r>
              <w:rPr>
                <w:rFonts w:ascii="宋体" w:eastAsia="宋体" w:hAnsi="宋体" w:cs="Times New Roman" w:hint="eastAsia"/>
                <w:bCs/>
                <w:iCs/>
                <w:sz w:val="24"/>
              </w:rPr>
              <w:t>兴业证券赵宇</w:t>
            </w:r>
          </w:p>
          <w:p w14:paraId="78EABF97" w14:textId="1756701B" w:rsidR="00C347B5" w:rsidRPr="004C3BD7" w:rsidRDefault="004C3BD7" w:rsidP="00F45C30">
            <w:pPr>
              <w:spacing w:line="480" w:lineRule="atLeast"/>
              <w:rPr>
                <w:rFonts w:ascii="宋体" w:eastAsia="宋体" w:hAnsi="宋体" w:cs="Times New Roman"/>
                <w:bCs/>
                <w:iCs/>
                <w:sz w:val="24"/>
              </w:rPr>
            </w:pPr>
            <w:r>
              <w:rPr>
                <w:rFonts w:ascii="宋体" w:eastAsia="宋体" w:hAnsi="宋体" w:cs="Times New Roman" w:hint="eastAsia"/>
                <w:bCs/>
                <w:iCs/>
                <w:sz w:val="24"/>
              </w:rPr>
              <w:t>华福证券俞能飞</w:t>
            </w:r>
            <w:r w:rsidR="00E61F59">
              <w:rPr>
                <w:rFonts w:ascii="宋体" w:eastAsia="宋体" w:hAnsi="宋体" w:cs="Times New Roman" w:hint="eastAsia"/>
                <w:bCs/>
                <w:iCs/>
                <w:sz w:val="24"/>
              </w:rPr>
              <w:t xml:space="preserve"> </w:t>
            </w:r>
            <w:r w:rsidR="00E61F59">
              <w:rPr>
                <w:rFonts w:ascii="宋体" w:eastAsia="宋体" w:hAnsi="宋体" w:cs="Times New Roman"/>
                <w:bCs/>
                <w:iCs/>
                <w:sz w:val="24"/>
              </w:rPr>
              <w:t xml:space="preserve">   </w:t>
            </w:r>
            <w:r w:rsidRPr="004C3BD7">
              <w:rPr>
                <w:rFonts w:ascii="宋体" w:eastAsia="宋体" w:hAnsi="宋体" w:cs="Times New Roman" w:hint="eastAsia"/>
                <w:bCs/>
                <w:iCs/>
                <w:sz w:val="24"/>
              </w:rPr>
              <w:t>德邦基金刘敏</w:t>
            </w:r>
            <w:r w:rsidR="008D28F0">
              <w:rPr>
                <w:rFonts w:ascii="宋体" w:eastAsia="宋体" w:hAnsi="宋体" w:cs="Times New Roman" w:hint="eastAsia"/>
                <w:bCs/>
                <w:iCs/>
                <w:sz w:val="24"/>
              </w:rPr>
              <w:t xml:space="preserve"> </w:t>
            </w:r>
            <w:r w:rsidR="008D28F0">
              <w:rPr>
                <w:rFonts w:ascii="宋体" w:eastAsia="宋体" w:hAnsi="宋体" w:cs="Times New Roman"/>
                <w:bCs/>
                <w:iCs/>
                <w:sz w:val="24"/>
              </w:rPr>
              <w:t xml:space="preserve">  </w:t>
            </w:r>
            <w:r w:rsidR="008D28F0">
              <w:rPr>
                <w:rFonts w:ascii="宋体" w:eastAsia="宋体" w:hAnsi="宋体" w:cs="Times New Roman" w:hint="eastAsia"/>
                <w:bCs/>
                <w:iCs/>
                <w:sz w:val="24"/>
              </w:rPr>
              <w:t>华夏基金乌焕强</w:t>
            </w:r>
          </w:p>
        </w:tc>
      </w:tr>
      <w:tr w:rsidR="001E4785" w:rsidRPr="006F1B08" w14:paraId="6C7C172B" w14:textId="77777777" w:rsidTr="00F22961">
        <w:tc>
          <w:tcPr>
            <w:tcW w:w="1668" w:type="dxa"/>
            <w:vAlign w:val="center"/>
          </w:tcPr>
          <w:p w14:paraId="7FBE1643" w14:textId="77777777" w:rsidR="001E4785" w:rsidRPr="0020571F" w:rsidRDefault="001E4785"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时间</w:t>
            </w:r>
          </w:p>
        </w:tc>
        <w:tc>
          <w:tcPr>
            <w:tcW w:w="6854" w:type="dxa"/>
            <w:vAlign w:val="center"/>
          </w:tcPr>
          <w:p w14:paraId="3A6915F4" w14:textId="63ECB5C1" w:rsidR="001E4785" w:rsidRPr="006F1B08" w:rsidRDefault="0056097F" w:rsidP="006F5D7C">
            <w:pPr>
              <w:spacing w:line="360" w:lineRule="auto"/>
              <w:rPr>
                <w:rFonts w:ascii="宋体" w:eastAsia="宋体" w:hAnsi="宋体" w:cs="Times New Roman"/>
                <w:bCs/>
                <w:iCs/>
                <w:color w:val="000000"/>
                <w:sz w:val="24"/>
              </w:rPr>
            </w:pPr>
            <w:r>
              <w:rPr>
                <w:rFonts w:ascii="宋体" w:eastAsia="宋体" w:hAnsi="宋体" w:cs="Times New Roman" w:hint="eastAsia"/>
                <w:bCs/>
                <w:iCs/>
                <w:color w:val="000000"/>
                <w:sz w:val="24"/>
              </w:rPr>
              <w:t>2</w:t>
            </w:r>
            <w:r>
              <w:rPr>
                <w:rFonts w:ascii="宋体" w:eastAsia="宋体" w:hAnsi="宋体" w:cs="Times New Roman"/>
                <w:bCs/>
                <w:iCs/>
                <w:color w:val="000000"/>
                <w:sz w:val="24"/>
              </w:rPr>
              <w:t>026</w:t>
            </w:r>
            <w:r>
              <w:rPr>
                <w:rFonts w:ascii="宋体" w:eastAsia="宋体" w:hAnsi="宋体" w:cs="Times New Roman" w:hint="eastAsia"/>
                <w:bCs/>
                <w:iCs/>
                <w:color w:val="000000"/>
                <w:sz w:val="24"/>
              </w:rPr>
              <w:t>年1月2</w:t>
            </w:r>
            <w:r>
              <w:rPr>
                <w:rFonts w:ascii="宋体" w:eastAsia="宋体" w:hAnsi="宋体" w:cs="Times New Roman"/>
                <w:bCs/>
                <w:iCs/>
                <w:color w:val="000000"/>
                <w:sz w:val="24"/>
              </w:rPr>
              <w:t>7</w:t>
            </w:r>
            <w:r>
              <w:rPr>
                <w:rFonts w:ascii="宋体" w:eastAsia="宋体" w:hAnsi="宋体" w:cs="Times New Roman" w:hint="eastAsia"/>
                <w:bCs/>
                <w:iCs/>
                <w:color w:val="000000"/>
                <w:sz w:val="24"/>
              </w:rPr>
              <w:t>日</w:t>
            </w:r>
          </w:p>
        </w:tc>
      </w:tr>
      <w:tr w:rsidR="001E4785" w:rsidRPr="006F1B08" w14:paraId="1A792C74" w14:textId="77777777" w:rsidTr="00F22961">
        <w:tc>
          <w:tcPr>
            <w:tcW w:w="1668" w:type="dxa"/>
            <w:vAlign w:val="center"/>
          </w:tcPr>
          <w:p w14:paraId="6F91AB2E" w14:textId="77777777" w:rsidR="001E4785" w:rsidRPr="0020571F" w:rsidRDefault="001E4785"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地点</w:t>
            </w:r>
          </w:p>
        </w:tc>
        <w:tc>
          <w:tcPr>
            <w:tcW w:w="6854" w:type="dxa"/>
            <w:vAlign w:val="center"/>
          </w:tcPr>
          <w:p w14:paraId="4260E68B" w14:textId="1FE9EABC" w:rsidR="001E4785" w:rsidRPr="006F1B08" w:rsidRDefault="0056097F" w:rsidP="006F5D7C">
            <w:pPr>
              <w:spacing w:line="360" w:lineRule="auto"/>
              <w:rPr>
                <w:rFonts w:ascii="宋体" w:eastAsia="宋体" w:hAnsi="宋体" w:cs="Times New Roman"/>
                <w:bCs/>
                <w:iCs/>
                <w:color w:val="000000"/>
                <w:sz w:val="24"/>
              </w:rPr>
            </w:pPr>
            <w:r>
              <w:rPr>
                <w:rFonts w:ascii="宋体" w:eastAsia="宋体" w:hAnsi="宋体" w:cs="Times New Roman" w:hint="eastAsia"/>
                <w:bCs/>
                <w:iCs/>
                <w:color w:val="000000"/>
                <w:sz w:val="24"/>
              </w:rPr>
              <w:t>公司会议室</w:t>
            </w:r>
          </w:p>
        </w:tc>
      </w:tr>
      <w:tr w:rsidR="00731C3E" w:rsidRPr="006F1B08" w14:paraId="20735E08" w14:textId="77777777" w:rsidTr="00F22961">
        <w:trPr>
          <w:trHeight w:val="841"/>
        </w:trPr>
        <w:tc>
          <w:tcPr>
            <w:tcW w:w="1668" w:type="dxa"/>
            <w:vAlign w:val="center"/>
          </w:tcPr>
          <w:p w14:paraId="7EB884B5" w14:textId="49A33305" w:rsidR="00731C3E" w:rsidRPr="0020571F" w:rsidRDefault="00731C3E"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上市公司接待人员</w:t>
            </w:r>
            <w:r w:rsidR="004176D8" w:rsidRPr="0020571F">
              <w:rPr>
                <w:rFonts w:ascii="宋体" w:eastAsia="宋体" w:hAnsi="宋体" w:cs="Times New Roman" w:hint="eastAsia"/>
                <w:iCs/>
                <w:color w:val="000000"/>
                <w:sz w:val="24"/>
              </w:rPr>
              <w:t>姓名</w:t>
            </w:r>
          </w:p>
        </w:tc>
        <w:tc>
          <w:tcPr>
            <w:tcW w:w="6854" w:type="dxa"/>
          </w:tcPr>
          <w:p w14:paraId="1DB3BBAE" w14:textId="015493E5" w:rsidR="00731C3E" w:rsidRDefault="0056097F" w:rsidP="006F5D7C">
            <w:pPr>
              <w:spacing w:line="360" w:lineRule="auto"/>
              <w:rPr>
                <w:bCs/>
              </w:rPr>
            </w:pPr>
            <w:r w:rsidRPr="00707011">
              <w:rPr>
                <w:rFonts w:hint="eastAsia"/>
                <w:bCs/>
              </w:rPr>
              <w:t>董事会秘书</w:t>
            </w:r>
            <w:r w:rsidRPr="00707011">
              <w:rPr>
                <w:rFonts w:hint="eastAsia"/>
                <w:bCs/>
              </w:rPr>
              <w:t xml:space="preserve"> </w:t>
            </w:r>
            <w:r w:rsidRPr="00707011">
              <w:rPr>
                <w:rFonts w:hint="eastAsia"/>
                <w:bCs/>
              </w:rPr>
              <w:t>钱龙宝</w:t>
            </w:r>
          </w:p>
          <w:p w14:paraId="07C80BA5" w14:textId="2AADA8AB" w:rsidR="0056097F" w:rsidRDefault="0056097F" w:rsidP="006F5D7C">
            <w:pPr>
              <w:spacing w:line="360" w:lineRule="auto"/>
              <w:rPr>
                <w:b/>
              </w:rPr>
            </w:pPr>
            <w:r w:rsidRPr="00707011">
              <w:rPr>
                <w:rFonts w:hint="eastAsia"/>
                <w:bCs/>
              </w:rPr>
              <w:t>投资者关系经理</w:t>
            </w:r>
            <w:r w:rsidRPr="00707011">
              <w:rPr>
                <w:rFonts w:hint="eastAsia"/>
                <w:bCs/>
              </w:rPr>
              <w:t xml:space="preserve"> </w:t>
            </w:r>
            <w:r w:rsidRPr="00707011">
              <w:rPr>
                <w:rFonts w:hint="eastAsia"/>
                <w:bCs/>
              </w:rPr>
              <w:t>林星宇</w:t>
            </w:r>
            <w:r w:rsidRPr="00707011">
              <w:rPr>
                <w:rFonts w:hint="eastAsia"/>
                <w:bCs/>
              </w:rPr>
              <w:t xml:space="preserve"> </w:t>
            </w:r>
          </w:p>
        </w:tc>
      </w:tr>
      <w:tr w:rsidR="00731C3E" w:rsidRPr="006F1B08" w14:paraId="3838BA4E" w14:textId="77777777" w:rsidTr="002C402C">
        <w:trPr>
          <w:trHeight w:val="3391"/>
        </w:trPr>
        <w:tc>
          <w:tcPr>
            <w:tcW w:w="1668" w:type="dxa"/>
            <w:vAlign w:val="center"/>
          </w:tcPr>
          <w:p w14:paraId="4BAC9BF5" w14:textId="0046E663" w:rsidR="00731C3E" w:rsidRPr="0020571F" w:rsidRDefault="00731C3E"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投资者关系活动主要内容</w:t>
            </w:r>
          </w:p>
        </w:tc>
        <w:tc>
          <w:tcPr>
            <w:tcW w:w="6854" w:type="dxa"/>
          </w:tcPr>
          <w:p w14:paraId="37E7E803" w14:textId="77777777" w:rsidR="00731C3E" w:rsidRDefault="00731C3E" w:rsidP="00731C3E">
            <w:pPr>
              <w:rPr>
                <w:b/>
              </w:rPr>
            </w:pPr>
          </w:p>
          <w:p w14:paraId="53FF1B3C" w14:textId="77777777" w:rsidR="00761463" w:rsidRPr="00BF1877" w:rsidRDefault="00761463" w:rsidP="00761463">
            <w:pPr>
              <w:adjustRightInd w:val="0"/>
              <w:snapToGrid w:val="0"/>
              <w:spacing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 xml:space="preserve">1、请介绍公司2025年度总体经营业绩情况？ </w:t>
            </w:r>
          </w:p>
          <w:p w14:paraId="7CC4BC70" w14:textId="77777777" w:rsidR="00761463" w:rsidRPr="00BF1877" w:rsidRDefault="00761463" w:rsidP="00761463">
            <w:pPr>
              <w:widowControl/>
              <w:spacing w:line="360" w:lineRule="auto"/>
              <w:ind w:firstLine="468"/>
              <w:rPr>
                <w:rFonts w:ascii="宋体" w:eastAsia="宋体" w:hAnsi="宋体"/>
                <w:sz w:val="24"/>
                <w:szCs w:val="24"/>
              </w:rPr>
            </w:pPr>
            <w:r w:rsidRPr="00BF1877">
              <w:rPr>
                <w:rFonts w:ascii="宋体" w:eastAsia="宋体" w:hAnsi="宋体" w:hint="eastAsia"/>
                <w:sz w:val="24"/>
                <w:szCs w:val="24"/>
              </w:rPr>
              <w:t>答：根据公司披露的2025年年度业绩预告，公司预计2025年年度实现归属于母公司所有者的净利润-2,400万元到-3,600万元，预计亏损同比减少，减亏主要是由于2024年末公司完成现金收购资产，增加了精密金属结构件、工业自动化设备及工装夹治具业务，致使2025年度公司营业收入大幅增加，总体盈利能力增强。具体准确的财务数据以公司正式披露的经审计后的2025年年报为准。未来，我们将进一步提升公司的核心竞争力和盈利能力，实现公司的持续稳定发展，给投资者以更好的回报。</w:t>
            </w:r>
          </w:p>
          <w:p w14:paraId="57E9181C" w14:textId="77777777" w:rsidR="00761463" w:rsidRPr="00BF1877" w:rsidRDefault="00761463" w:rsidP="00D95924">
            <w:pPr>
              <w:adjustRightInd w:val="0"/>
              <w:snapToGrid w:val="0"/>
              <w:spacing w:beforeLines="50" w:before="156"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2、公司未来是否会弱化鞋类业务、重点投向精密制造业务？</w:t>
            </w:r>
          </w:p>
          <w:p w14:paraId="244EDFA9"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答：鞋业是公司主业之一，公司将以现有鞋业业务为基础，持续加强在新消费领域的品牌建设，不断提升渠道运营能力，推动品牌在新世代人群中的认知度。在工业制造领域，通过并购、加大研发等措施，实现在减材、增材以及关键原材料的生产和核</w:t>
            </w:r>
            <w:r w:rsidRPr="00BF1877">
              <w:rPr>
                <w:rFonts w:ascii="宋体" w:eastAsia="宋体" w:hAnsi="宋体" w:hint="eastAsia"/>
                <w:sz w:val="24"/>
                <w:szCs w:val="24"/>
              </w:rPr>
              <w:lastRenderedPageBreak/>
              <w:t>心设备及工艺的研发制造的布局。同时随着公司逐步向新消费及新科技领域转型，未来会基于公司在高端制造等行业的技术优势和皮鞋业务的渠道优势，以及在消费电子行业积累的经验，加大面向To C端的工业消费产品的布局。</w:t>
            </w:r>
          </w:p>
          <w:p w14:paraId="3F1E4BE2" w14:textId="77777777" w:rsidR="00761463" w:rsidRPr="00BF1877" w:rsidRDefault="00761463" w:rsidP="00D95924">
            <w:pPr>
              <w:adjustRightInd w:val="0"/>
              <w:snapToGrid w:val="0"/>
              <w:spacing w:beforeLines="50" w:before="156"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3、公司近年来亏损的原因？后续如何提高自身的盈利能力?</w:t>
            </w:r>
          </w:p>
          <w:p w14:paraId="0852027C" w14:textId="77777777" w:rsidR="00761463" w:rsidRPr="00BF1877" w:rsidRDefault="00761463" w:rsidP="00761463">
            <w:pPr>
              <w:spacing w:line="360" w:lineRule="auto"/>
              <w:ind w:firstLineChars="150" w:firstLine="360"/>
              <w:rPr>
                <w:rFonts w:ascii="宋体" w:eastAsia="宋体" w:hAnsi="宋体"/>
                <w:sz w:val="24"/>
                <w:szCs w:val="24"/>
              </w:rPr>
            </w:pPr>
            <w:r w:rsidRPr="00BF1877">
              <w:rPr>
                <w:rFonts w:ascii="宋体" w:eastAsia="宋体" w:hAnsi="宋体" w:hint="eastAsia"/>
                <w:sz w:val="24"/>
                <w:szCs w:val="24"/>
              </w:rPr>
              <w:t>答：近年来，受市场环境以及竞争加剧等因素影响，公司业绩出现亏损。为改善经营业绩，公司积极调整，通过开拓现有业务、并购重组等多种措施，积极改善公司经营情况和财务状况，以快速提升整体的盈利水平为目标，推进公司经营的可持续、高质量发展。</w:t>
            </w:r>
          </w:p>
          <w:p w14:paraId="4D3604C5"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在鞋类业务方面，公司在2025年度下半年完成了对鞋业电商子公司少数股东的股权收购，收购完成后，公司在线上电商类的业务布局进一步加强，加大了鞋业线上线下业务的完整性和联动性，更好的提升了运营效率。下一步，公司将积极探索AI技术在传统消费行业的实际应用，利用好现有渠道，探索并尝试新的业务形态及产品形态。在精密金属制造方面，本次拟将苏州郎克斯少数股东持有的剩余45%股权全部收购，以加强在新领域中业务的完整性并提高盈利能力。</w:t>
            </w:r>
          </w:p>
          <w:p w14:paraId="2C61DC79" w14:textId="77777777" w:rsidR="00761463" w:rsidRPr="00BF1877" w:rsidRDefault="00761463" w:rsidP="00761463">
            <w:pPr>
              <w:spacing w:line="360" w:lineRule="auto"/>
              <w:ind w:firstLineChars="150" w:firstLine="360"/>
              <w:rPr>
                <w:rFonts w:ascii="宋体" w:eastAsia="宋体" w:hAnsi="宋体"/>
                <w:sz w:val="24"/>
                <w:szCs w:val="24"/>
              </w:rPr>
            </w:pPr>
            <w:r w:rsidRPr="00BF1877">
              <w:rPr>
                <w:rFonts w:ascii="宋体" w:eastAsia="宋体" w:hAnsi="宋体" w:hint="eastAsia"/>
                <w:sz w:val="24"/>
                <w:szCs w:val="24"/>
              </w:rPr>
              <w:t>2025年度，公司各项经营指标得到明显好转，经财务部门初步测算数据显示业绩同比大幅改善，我们将进一步加强对公司的科学管理，提升公司全体员工的主观能动性，继续提升各项业务的盈利能力。</w:t>
            </w:r>
          </w:p>
          <w:p w14:paraId="49975E4D" w14:textId="77777777" w:rsidR="00761463" w:rsidRPr="00BF1877" w:rsidRDefault="00761463" w:rsidP="00D95924">
            <w:pPr>
              <w:adjustRightInd w:val="0"/>
              <w:snapToGrid w:val="0"/>
              <w:spacing w:beforeLines="50" w:before="156"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4、公司通过并购进入新的业务领域，公司对于未来的业务转型是否有明确的发展规划？</w:t>
            </w:r>
          </w:p>
          <w:p w14:paraId="4F09852A" w14:textId="77777777" w:rsidR="00761463" w:rsidRPr="00BF1877" w:rsidRDefault="00761463" w:rsidP="00761463">
            <w:pPr>
              <w:adjustRightInd w:val="0"/>
              <w:snapToGrid w:val="0"/>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答：目前公司主营中高端皮鞋的品牌运营﹑产品设计和销售，并已开拓精密金属结构件及相关设备的研发、生产、销售业务，已实现公司主营业务向多元化的战略转型升级，形成了“中高端鞋业+精密金属结构件及相关设备”主营业务。除前述业务，公司还布局了3D打印设备及系统解决方案、上游核心原材料业</w:t>
            </w:r>
            <w:r w:rsidRPr="00BF1877">
              <w:rPr>
                <w:rFonts w:ascii="宋体" w:eastAsia="宋体" w:hAnsi="宋体" w:hint="eastAsia"/>
                <w:sz w:val="24"/>
                <w:szCs w:val="24"/>
              </w:rPr>
              <w:lastRenderedPageBreak/>
              <w:t>务。截至目前，公司已完成在精密金属减材制造、增材的原材料生产和核心设备研发制造领域的布局，</w:t>
            </w:r>
            <w:r w:rsidRPr="00BF1877">
              <w:rPr>
                <w:rFonts w:ascii="宋体" w:eastAsia="宋体" w:hAnsi="宋体" w:hint="eastAsia"/>
                <w:sz w:val="24"/>
                <w:szCs w:val="28"/>
              </w:rPr>
              <w:t>面向下游消费电子等领域客户提供全套产品及服务。</w:t>
            </w:r>
            <w:r w:rsidRPr="00BF1877">
              <w:rPr>
                <w:rFonts w:ascii="宋体" w:eastAsia="宋体" w:hAnsi="宋体" w:hint="eastAsia"/>
                <w:sz w:val="24"/>
                <w:szCs w:val="24"/>
              </w:rPr>
              <w:t>未来公司将持续深耕中高端皮鞋业务以及精密金属减材制造、增材的原材料生产和核心设备研发制造业务，并努力向消费电子以外的其他领域拓展。</w:t>
            </w:r>
          </w:p>
          <w:p w14:paraId="1C32ABF8" w14:textId="77777777" w:rsidR="00761463" w:rsidRPr="00BF1877" w:rsidRDefault="00761463" w:rsidP="00D95924">
            <w:pPr>
              <w:adjustRightInd w:val="0"/>
              <w:snapToGrid w:val="0"/>
              <w:spacing w:beforeLines="50" w:before="156"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5、公司2024年通过收购苏州郎克斯、江苏朗迅等企业，实现了在新领域的产业布局，相关企业的业务进展情况如何？</w:t>
            </w:r>
          </w:p>
          <w:p w14:paraId="5EFC0017"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答：公司正在进行拟以发行股份收购苏州郎克斯</w:t>
            </w:r>
            <w:bookmarkStart w:id="0" w:name="OLE_LINK3"/>
            <w:r w:rsidRPr="00BF1877">
              <w:rPr>
                <w:rFonts w:ascii="宋体" w:eastAsia="宋体" w:hAnsi="宋体" w:hint="eastAsia"/>
                <w:sz w:val="24"/>
                <w:szCs w:val="24"/>
              </w:rPr>
              <w:t>少数股东持有的</w:t>
            </w:r>
            <w:bookmarkEnd w:id="0"/>
            <w:r w:rsidRPr="00BF1877">
              <w:rPr>
                <w:rFonts w:ascii="宋体" w:eastAsia="宋体" w:hAnsi="宋体" w:hint="eastAsia"/>
                <w:sz w:val="24"/>
                <w:szCs w:val="24"/>
              </w:rPr>
              <w:t>剩余45%股权, 目前苏州郎克斯财务指标、经营情况均符合公司预期。</w:t>
            </w:r>
          </w:p>
          <w:p w14:paraId="049C58A3"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2024年公司已实现对苏州郎克斯、江苏哈森工业（原江苏朗讯）控股，完成了公司从传统中高端皮鞋业务转向技术水平较高的工业智能及精密制造布局，在收购后公司对并购标的进行了严格的投后管理及符合上市公司要求的相关辅导</w:t>
            </w:r>
            <w:bookmarkStart w:id="1" w:name="_Hlk220327690"/>
            <w:r w:rsidRPr="00BF1877">
              <w:rPr>
                <w:rFonts w:ascii="宋体" w:eastAsia="宋体" w:hAnsi="宋体" w:hint="eastAsia"/>
                <w:sz w:val="24"/>
                <w:szCs w:val="24"/>
              </w:rPr>
              <w:t>，目前两家企业生产经营状况良好，相关业务已进入果链、华为链、小米链等国内外龙头企业产业链，并形成稳定订单。</w:t>
            </w:r>
          </w:p>
          <w:p w14:paraId="7D01165D"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苏州郎克斯目前发展良好，各项业务有序推进，符合上市公司预期，其产品终端品牌从以苹果为主，近年已逐步拓展至华为、小米、三星等终端品牌，产品包括手机边框中框、平板电脑底壳、笔记本电脑外壳、智能手表表壳等。苏州郎克斯2025年前三季度已实现营业收入50,392.63万元，净利润4,349.97万元，目前其经营情况良好，其年度经营业绩情况将在公司定期报告以及本次重组的后续公告详细披露，请关注后续相关公告。</w:t>
            </w:r>
          </w:p>
          <w:p w14:paraId="2DC3F3FC" w14:textId="59E03D1F"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江苏哈森工业生产经营情况正常，目前其工业自动化设备主要应用于消费电子领域，相关业务通过其下属子公司扩展到数控机床、半导体设备及其零件等制造领域。</w:t>
            </w:r>
          </w:p>
          <w:bookmarkEnd w:id="1"/>
          <w:p w14:paraId="5173CA4F" w14:textId="77777777" w:rsidR="00761463" w:rsidRPr="00BF1877" w:rsidRDefault="00761463" w:rsidP="00761463">
            <w:pPr>
              <w:spacing w:line="360" w:lineRule="auto"/>
              <w:ind w:firstLineChars="200" w:firstLine="480"/>
              <w:rPr>
                <w:rFonts w:ascii="宋体" w:eastAsia="宋体" w:hAnsi="宋体"/>
                <w:sz w:val="24"/>
                <w:szCs w:val="24"/>
              </w:rPr>
            </w:pPr>
            <w:r w:rsidRPr="00BF1877">
              <w:rPr>
                <w:rFonts w:ascii="宋体" w:eastAsia="宋体" w:hAnsi="宋体" w:hint="eastAsia"/>
                <w:sz w:val="24"/>
                <w:szCs w:val="24"/>
              </w:rPr>
              <w:t>本次拟发行股份将苏州郎克斯剩余45%股权全部并购，本次交易将有利于进一步实现公司转型，加强公司在新领域中业务的完整性并提高盈利能力。公司将进一步加强对被并购公司的相关</w:t>
            </w:r>
            <w:r w:rsidRPr="00BF1877">
              <w:rPr>
                <w:rFonts w:ascii="宋体" w:eastAsia="宋体" w:hAnsi="宋体" w:hint="eastAsia"/>
                <w:sz w:val="24"/>
                <w:szCs w:val="24"/>
              </w:rPr>
              <w:lastRenderedPageBreak/>
              <w:t>业务整合，同时，因收购使公司拓展进入新的行业领域，并帮助被收购公司进一步扩大所在行业的优势。</w:t>
            </w:r>
          </w:p>
          <w:p w14:paraId="469503A7" w14:textId="77777777" w:rsidR="00761463" w:rsidRPr="00BF1877" w:rsidRDefault="00761463" w:rsidP="00D95924">
            <w:pPr>
              <w:adjustRightInd w:val="0"/>
              <w:snapToGrid w:val="0"/>
              <w:spacing w:beforeLines="50" w:before="156" w:line="360" w:lineRule="auto"/>
              <w:ind w:firstLineChars="200" w:firstLine="480"/>
              <w:jc w:val="left"/>
              <w:rPr>
                <w:rFonts w:ascii="宋体" w:eastAsia="宋体" w:hAnsi="宋体"/>
                <w:sz w:val="24"/>
                <w:szCs w:val="24"/>
              </w:rPr>
            </w:pPr>
            <w:r w:rsidRPr="00BF1877">
              <w:rPr>
                <w:rFonts w:ascii="宋体" w:eastAsia="宋体" w:hAnsi="宋体" w:hint="eastAsia"/>
                <w:sz w:val="24"/>
                <w:szCs w:val="24"/>
              </w:rPr>
              <w:t>6、请介绍3D打印原材料业务情况，以及未来是否有扩产计划？</w:t>
            </w:r>
          </w:p>
          <w:p w14:paraId="5DBA02F8" w14:textId="77777777" w:rsidR="00761463" w:rsidRPr="00BF1877" w:rsidRDefault="00761463" w:rsidP="00761463">
            <w:pPr>
              <w:adjustRightInd w:val="0"/>
              <w:snapToGrid w:val="0"/>
              <w:spacing w:line="360" w:lineRule="auto"/>
              <w:ind w:firstLine="420"/>
              <w:rPr>
                <w:rFonts w:ascii="宋体" w:eastAsia="宋体" w:hAnsi="宋体"/>
                <w:sz w:val="24"/>
                <w:szCs w:val="24"/>
              </w:rPr>
            </w:pPr>
            <w:r w:rsidRPr="00BF1877">
              <w:rPr>
                <w:rFonts w:ascii="宋体" w:eastAsia="宋体" w:hAnsi="宋体" w:hint="eastAsia"/>
                <w:sz w:val="24"/>
                <w:szCs w:val="24"/>
              </w:rPr>
              <w:t>答：公司下属控股子公司哈森唯特从事钛粉研发、生产与销售，其核心技术团队已深耕该领域的核心设备、工艺自研及钛粉材料相关技术研发三十余年，积累了大量的行业经验。</w:t>
            </w:r>
          </w:p>
          <w:p w14:paraId="254A8E10" w14:textId="6CD84E87" w:rsidR="007D2BBA" w:rsidRPr="00D95924" w:rsidRDefault="00761463" w:rsidP="00D95924">
            <w:pPr>
              <w:adjustRightInd w:val="0"/>
              <w:snapToGrid w:val="0"/>
              <w:spacing w:line="360" w:lineRule="auto"/>
              <w:ind w:firstLine="420"/>
              <w:rPr>
                <w:rFonts w:ascii="宋体" w:eastAsia="宋体" w:hAnsi="宋体"/>
                <w:sz w:val="24"/>
                <w:szCs w:val="24"/>
              </w:rPr>
            </w:pPr>
            <w:r w:rsidRPr="00BF1877">
              <w:rPr>
                <w:rFonts w:ascii="宋体" w:eastAsia="宋体" w:hAnsi="宋体" w:hint="eastAsia"/>
                <w:sz w:val="24"/>
                <w:szCs w:val="24"/>
              </w:rPr>
              <w:t>哈森唯特使用NPA技术（等离子体雾化技术）、TPR技术（钛粒径重构技术）等关键技术及工艺，致力于生产高质量、低成本的钛粉、MIM粉，后续将持续优化工艺技术，不断提升产品质量并降低生产成本，增强产品竞争力。目前哈森唯特已在湖南益阳园区规划数百吨产能，其钛粉、MIM粉已中试成功，并已积极送样给下游相关客户。公司将根据战略发展和经营需要，深化客户合作，稳步推进钛粉领域的业务拓展、品质提升及产能提升，后续如有扩产计划，公司将依据相关规定履行决策程序和信息披露义务。</w:t>
            </w:r>
          </w:p>
        </w:tc>
      </w:tr>
      <w:tr w:rsidR="00731C3E" w:rsidRPr="006F1B08" w14:paraId="0F0A85DB" w14:textId="77777777" w:rsidTr="00F22961">
        <w:tc>
          <w:tcPr>
            <w:tcW w:w="1668" w:type="dxa"/>
            <w:vAlign w:val="center"/>
          </w:tcPr>
          <w:p w14:paraId="7350088A" w14:textId="6275BB49" w:rsidR="007D2BBA" w:rsidRPr="0020571F" w:rsidRDefault="00731C3E"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lastRenderedPageBreak/>
              <w:t>资料清单（如有）</w:t>
            </w:r>
          </w:p>
        </w:tc>
        <w:tc>
          <w:tcPr>
            <w:tcW w:w="6854" w:type="dxa"/>
            <w:vAlign w:val="center"/>
          </w:tcPr>
          <w:p w14:paraId="60649DE7" w14:textId="599ED3E2" w:rsidR="00731C3E" w:rsidRPr="005C2B4D" w:rsidRDefault="00ED0BBB" w:rsidP="00731C3E">
            <w:pPr>
              <w:spacing w:line="480" w:lineRule="atLeast"/>
              <w:rPr>
                <w:rFonts w:ascii="宋体" w:hAnsi="宋体"/>
                <w:bCs/>
                <w:iCs/>
                <w:color w:val="000000"/>
                <w:sz w:val="24"/>
              </w:rPr>
            </w:pPr>
            <w:r>
              <w:rPr>
                <w:rFonts w:ascii="宋体" w:hAnsi="宋体" w:hint="eastAsia"/>
                <w:bCs/>
                <w:iCs/>
                <w:color w:val="000000"/>
                <w:sz w:val="24"/>
              </w:rPr>
              <w:t>无</w:t>
            </w:r>
          </w:p>
        </w:tc>
      </w:tr>
      <w:tr w:rsidR="00731C3E" w:rsidRPr="006F1B08" w14:paraId="6E249D2D" w14:textId="77777777" w:rsidTr="00F22961">
        <w:trPr>
          <w:trHeight w:val="858"/>
        </w:trPr>
        <w:tc>
          <w:tcPr>
            <w:tcW w:w="1668" w:type="dxa"/>
            <w:vAlign w:val="center"/>
          </w:tcPr>
          <w:p w14:paraId="21BDDB5B" w14:textId="7BB9B3E4" w:rsidR="007D2BBA" w:rsidRPr="0020571F" w:rsidRDefault="00731C3E" w:rsidP="00114E69">
            <w:pPr>
              <w:spacing w:line="276" w:lineRule="auto"/>
              <w:rPr>
                <w:rFonts w:ascii="宋体" w:eastAsia="宋体" w:hAnsi="宋体" w:cs="Times New Roman"/>
                <w:iCs/>
                <w:color w:val="000000"/>
                <w:sz w:val="24"/>
              </w:rPr>
            </w:pPr>
            <w:r w:rsidRPr="0020571F">
              <w:rPr>
                <w:rFonts w:ascii="宋体" w:eastAsia="宋体" w:hAnsi="宋体" w:cs="Times New Roman" w:hint="eastAsia"/>
                <w:iCs/>
                <w:color w:val="000000"/>
                <w:sz w:val="24"/>
              </w:rPr>
              <w:t>日期</w:t>
            </w:r>
          </w:p>
        </w:tc>
        <w:tc>
          <w:tcPr>
            <w:tcW w:w="6854" w:type="dxa"/>
            <w:vAlign w:val="center"/>
          </w:tcPr>
          <w:p w14:paraId="0B94FFC3" w14:textId="4146EEE4" w:rsidR="00731C3E" w:rsidRPr="006F1B08" w:rsidRDefault="0056097F" w:rsidP="00731C3E">
            <w:pPr>
              <w:spacing w:line="480" w:lineRule="atLeast"/>
              <w:rPr>
                <w:rFonts w:ascii="宋体" w:eastAsia="宋体" w:hAnsi="宋体" w:cs="Times New Roman"/>
                <w:bCs/>
                <w:iCs/>
                <w:color w:val="000000"/>
                <w:sz w:val="24"/>
              </w:rPr>
            </w:pPr>
            <w:r>
              <w:rPr>
                <w:rFonts w:ascii="宋体" w:eastAsia="宋体" w:hAnsi="宋体" w:cs="Times New Roman" w:hint="eastAsia"/>
                <w:bCs/>
                <w:iCs/>
                <w:color w:val="000000"/>
                <w:sz w:val="24"/>
              </w:rPr>
              <w:t>2</w:t>
            </w:r>
            <w:r>
              <w:rPr>
                <w:rFonts w:ascii="宋体" w:eastAsia="宋体" w:hAnsi="宋体" w:cs="Times New Roman"/>
                <w:bCs/>
                <w:iCs/>
                <w:color w:val="000000"/>
                <w:sz w:val="24"/>
              </w:rPr>
              <w:t>025</w:t>
            </w:r>
            <w:r>
              <w:rPr>
                <w:rFonts w:ascii="宋体" w:eastAsia="宋体" w:hAnsi="宋体" w:cs="Times New Roman" w:hint="eastAsia"/>
                <w:bCs/>
                <w:iCs/>
                <w:color w:val="000000"/>
                <w:sz w:val="24"/>
              </w:rPr>
              <w:t>年1月2</w:t>
            </w:r>
            <w:r>
              <w:rPr>
                <w:rFonts w:ascii="宋体" w:eastAsia="宋体" w:hAnsi="宋体" w:cs="Times New Roman"/>
                <w:bCs/>
                <w:iCs/>
                <w:color w:val="000000"/>
                <w:sz w:val="24"/>
              </w:rPr>
              <w:t>7</w:t>
            </w:r>
            <w:r>
              <w:rPr>
                <w:rFonts w:ascii="宋体" w:eastAsia="宋体" w:hAnsi="宋体" w:cs="Times New Roman" w:hint="eastAsia"/>
                <w:bCs/>
                <w:iCs/>
                <w:color w:val="000000"/>
                <w:sz w:val="24"/>
              </w:rPr>
              <w:t>日</w:t>
            </w:r>
          </w:p>
        </w:tc>
      </w:tr>
    </w:tbl>
    <w:p w14:paraId="0DAEB02D" w14:textId="77777777" w:rsidR="001E4785" w:rsidRPr="007038C6" w:rsidRDefault="001E4785" w:rsidP="00EF77A1">
      <w:pPr>
        <w:jc w:val="center"/>
        <w:rPr>
          <w:rFonts w:ascii="Calibri" w:eastAsia="宋体" w:hAnsi="Calibri" w:cs="Times New Roman"/>
          <w:sz w:val="24"/>
        </w:rPr>
      </w:pPr>
    </w:p>
    <w:p w14:paraId="5AC72590" w14:textId="77777777" w:rsidR="006C105D" w:rsidRDefault="006C105D"/>
    <w:sectPr w:rsidR="006C105D" w:rsidSect="006C105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CA01" w14:textId="77777777" w:rsidR="00EA2CEE" w:rsidRDefault="00EA2CEE" w:rsidP="006F3191">
      <w:r>
        <w:separator/>
      </w:r>
    </w:p>
  </w:endnote>
  <w:endnote w:type="continuationSeparator" w:id="0">
    <w:p w14:paraId="08740837" w14:textId="77777777" w:rsidR="00EA2CEE" w:rsidRDefault="00EA2CEE" w:rsidP="006F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7896" w14:textId="77777777" w:rsidR="00EA2CEE" w:rsidRDefault="00EA2CEE" w:rsidP="006F3191">
      <w:r>
        <w:separator/>
      </w:r>
    </w:p>
  </w:footnote>
  <w:footnote w:type="continuationSeparator" w:id="0">
    <w:p w14:paraId="5DF56288" w14:textId="77777777" w:rsidR="00EA2CEE" w:rsidRDefault="00EA2CEE" w:rsidP="006F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D766" w14:textId="5D8D46B1" w:rsidR="007D2BBA" w:rsidRDefault="007D2BBA">
    <w:pPr>
      <w:pStyle w:val="a3"/>
    </w:pPr>
    <w:r w:rsidRPr="007D2BBA">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4785"/>
    <w:rsid w:val="00000A16"/>
    <w:rsid w:val="000017B4"/>
    <w:rsid w:val="00006810"/>
    <w:rsid w:val="000110C2"/>
    <w:rsid w:val="00016E00"/>
    <w:rsid w:val="00024F83"/>
    <w:rsid w:val="00034582"/>
    <w:rsid w:val="000346D2"/>
    <w:rsid w:val="000401BA"/>
    <w:rsid w:val="000403EB"/>
    <w:rsid w:val="00046BDB"/>
    <w:rsid w:val="00055D7B"/>
    <w:rsid w:val="00066043"/>
    <w:rsid w:val="0006613B"/>
    <w:rsid w:val="00066318"/>
    <w:rsid w:val="00066499"/>
    <w:rsid w:val="000666D9"/>
    <w:rsid w:val="00070160"/>
    <w:rsid w:val="00071106"/>
    <w:rsid w:val="00071D1C"/>
    <w:rsid w:val="000720D5"/>
    <w:rsid w:val="00073291"/>
    <w:rsid w:val="00093A33"/>
    <w:rsid w:val="000955C5"/>
    <w:rsid w:val="00095C23"/>
    <w:rsid w:val="000967F9"/>
    <w:rsid w:val="000A14EE"/>
    <w:rsid w:val="000B32F4"/>
    <w:rsid w:val="000B42A2"/>
    <w:rsid w:val="000B7948"/>
    <w:rsid w:val="000C2681"/>
    <w:rsid w:val="000D5B6F"/>
    <w:rsid w:val="000E3858"/>
    <w:rsid w:val="000F21F3"/>
    <w:rsid w:val="001119C4"/>
    <w:rsid w:val="00114E69"/>
    <w:rsid w:val="00123F3B"/>
    <w:rsid w:val="001272A2"/>
    <w:rsid w:val="001606B1"/>
    <w:rsid w:val="00174A68"/>
    <w:rsid w:val="00175C5F"/>
    <w:rsid w:val="0018772B"/>
    <w:rsid w:val="00197989"/>
    <w:rsid w:val="001B1F0E"/>
    <w:rsid w:val="001B3AAD"/>
    <w:rsid w:val="001C1697"/>
    <w:rsid w:val="001C6ACE"/>
    <w:rsid w:val="001D5730"/>
    <w:rsid w:val="001D5AA6"/>
    <w:rsid w:val="001D6D29"/>
    <w:rsid w:val="001E4785"/>
    <w:rsid w:val="001F0807"/>
    <w:rsid w:val="0020571F"/>
    <w:rsid w:val="00232392"/>
    <w:rsid w:val="0024073C"/>
    <w:rsid w:val="00244F08"/>
    <w:rsid w:val="0025597F"/>
    <w:rsid w:val="002703A7"/>
    <w:rsid w:val="002713C3"/>
    <w:rsid w:val="002723F3"/>
    <w:rsid w:val="00284452"/>
    <w:rsid w:val="002A3A89"/>
    <w:rsid w:val="002C402C"/>
    <w:rsid w:val="002C52A3"/>
    <w:rsid w:val="002D4865"/>
    <w:rsid w:val="002D4BE5"/>
    <w:rsid w:val="002E07FD"/>
    <w:rsid w:val="002E45C5"/>
    <w:rsid w:val="00310F2A"/>
    <w:rsid w:val="00311468"/>
    <w:rsid w:val="00313F64"/>
    <w:rsid w:val="0033161A"/>
    <w:rsid w:val="00333ACC"/>
    <w:rsid w:val="00334B82"/>
    <w:rsid w:val="00342C17"/>
    <w:rsid w:val="00360242"/>
    <w:rsid w:val="003637C0"/>
    <w:rsid w:val="003661A7"/>
    <w:rsid w:val="00367B58"/>
    <w:rsid w:val="00380696"/>
    <w:rsid w:val="00386271"/>
    <w:rsid w:val="00395459"/>
    <w:rsid w:val="003A12CA"/>
    <w:rsid w:val="003A70E2"/>
    <w:rsid w:val="003A7EF1"/>
    <w:rsid w:val="003C0642"/>
    <w:rsid w:val="003C22EC"/>
    <w:rsid w:val="003C4F75"/>
    <w:rsid w:val="003D01ED"/>
    <w:rsid w:val="003E2EA5"/>
    <w:rsid w:val="003E605F"/>
    <w:rsid w:val="003F1B51"/>
    <w:rsid w:val="00413023"/>
    <w:rsid w:val="004176D8"/>
    <w:rsid w:val="004206C2"/>
    <w:rsid w:val="004255F0"/>
    <w:rsid w:val="00435031"/>
    <w:rsid w:val="00455921"/>
    <w:rsid w:val="0046659F"/>
    <w:rsid w:val="00467569"/>
    <w:rsid w:val="00480875"/>
    <w:rsid w:val="00484871"/>
    <w:rsid w:val="004A2BBB"/>
    <w:rsid w:val="004A48D7"/>
    <w:rsid w:val="004B2BB2"/>
    <w:rsid w:val="004C2F1C"/>
    <w:rsid w:val="004C3BD7"/>
    <w:rsid w:val="004C7E20"/>
    <w:rsid w:val="004F677A"/>
    <w:rsid w:val="0050249B"/>
    <w:rsid w:val="00511665"/>
    <w:rsid w:val="00513F98"/>
    <w:rsid w:val="00534293"/>
    <w:rsid w:val="00534326"/>
    <w:rsid w:val="005365E4"/>
    <w:rsid w:val="00547D94"/>
    <w:rsid w:val="00550672"/>
    <w:rsid w:val="00552A79"/>
    <w:rsid w:val="00554EAD"/>
    <w:rsid w:val="005577DD"/>
    <w:rsid w:val="0056097F"/>
    <w:rsid w:val="00572897"/>
    <w:rsid w:val="00582708"/>
    <w:rsid w:val="00582BC2"/>
    <w:rsid w:val="00586968"/>
    <w:rsid w:val="005934AF"/>
    <w:rsid w:val="0059617F"/>
    <w:rsid w:val="005A0F45"/>
    <w:rsid w:val="005B1E14"/>
    <w:rsid w:val="005C1A21"/>
    <w:rsid w:val="005C2B4D"/>
    <w:rsid w:val="005E102E"/>
    <w:rsid w:val="005E46DE"/>
    <w:rsid w:val="005F4392"/>
    <w:rsid w:val="00604764"/>
    <w:rsid w:val="00617675"/>
    <w:rsid w:val="0062074F"/>
    <w:rsid w:val="006319B8"/>
    <w:rsid w:val="00636B6B"/>
    <w:rsid w:val="00646684"/>
    <w:rsid w:val="0066418D"/>
    <w:rsid w:val="00670BDE"/>
    <w:rsid w:val="0068143B"/>
    <w:rsid w:val="00684486"/>
    <w:rsid w:val="00686C7A"/>
    <w:rsid w:val="006A4830"/>
    <w:rsid w:val="006B2961"/>
    <w:rsid w:val="006C0B16"/>
    <w:rsid w:val="006C105D"/>
    <w:rsid w:val="006C1D3F"/>
    <w:rsid w:val="006C5C1C"/>
    <w:rsid w:val="006C7011"/>
    <w:rsid w:val="006E4CC6"/>
    <w:rsid w:val="006F3191"/>
    <w:rsid w:val="006F5D7C"/>
    <w:rsid w:val="00707011"/>
    <w:rsid w:val="00717EE1"/>
    <w:rsid w:val="00731C3E"/>
    <w:rsid w:val="00737D92"/>
    <w:rsid w:val="00753FA0"/>
    <w:rsid w:val="00755E77"/>
    <w:rsid w:val="0076105C"/>
    <w:rsid w:val="00761463"/>
    <w:rsid w:val="00771D92"/>
    <w:rsid w:val="00794F42"/>
    <w:rsid w:val="00795554"/>
    <w:rsid w:val="007B59DE"/>
    <w:rsid w:val="007B5E88"/>
    <w:rsid w:val="007C3709"/>
    <w:rsid w:val="007C4432"/>
    <w:rsid w:val="007D2BBA"/>
    <w:rsid w:val="007D6440"/>
    <w:rsid w:val="00811C09"/>
    <w:rsid w:val="00826060"/>
    <w:rsid w:val="00844124"/>
    <w:rsid w:val="008443AF"/>
    <w:rsid w:val="00855A80"/>
    <w:rsid w:val="00863789"/>
    <w:rsid w:val="008648A6"/>
    <w:rsid w:val="00870A6B"/>
    <w:rsid w:val="0087375A"/>
    <w:rsid w:val="00882FD5"/>
    <w:rsid w:val="00886C65"/>
    <w:rsid w:val="008938FB"/>
    <w:rsid w:val="008A5BC8"/>
    <w:rsid w:val="008B3F6B"/>
    <w:rsid w:val="008B5A2B"/>
    <w:rsid w:val="008B704A"/>
    <w:rsid w:val="008C063D"/>
    <w:rsid w:val="008C2424"/>
    <w:rsid w:val="008C2687"/>
    <w:rsid w:val="008C2AE8"/>
    <w:rsid w:val="008C49FA"/>
    <w:rsid w:val="008D0A00"/>
    <w:rsid w:val="008D0AFE"/>
    <w:rsid w:val="008D28F0"/>
    <w:rsid w:val="008E6053"/>
    <w:rsid w:val="008F4022"/>
    <w:rsid w:val="008F7941"/>
    <w:rsid w:val="009000DB"/>
    <w:rsid w:val="0090053A"/>
    <w:rsid w:val="0090232A"/>
    <w:rsid w:val="00902FFC"/>
    <w:rsid w:val="009046AB"/>
    <w:rsid w:val="00904E6C"/>
    <w:rsid w:val="00921382"/>
    <w:rsid w:val="009220FC"/>
    <w:rsid w:val="00944D77"/>
    <w:rsid w:val="00952074"/>
    <w:rsid w:val="0096283C"/>
    <w:rsid w:val="00963C16"/>
    <w:rsid w:val="00964362"/>
    <w:rsid w:val="0096582C"/>
    <w:rsid w:val="00971EEF"/>
    <w:rsid w:val="00975339"/>
    <w:rsid w:val="00984909"/>
    <w:rsid w:val="009939F5"/>
    <w:rsid w:val="00995F07"/>
    <w:rsid w:val="009A313C"/>
    <w:rsid w:val="009B385A"/>
    <w:rsid w:val="009B6989"/>
    <w:rsid w:val="009C210F"/>
    <w:rsid w:val="009D1DCC"/>
    <w:rsid w:val="009F19D0"/>
    <w:rsid w:val="009F2C6D"/>
    <w:rsid w:val="009F5AC3"/>
    <w:rsid w:val="00A10DEE"/>
    <w:rsid w:val="00A158D9"/>
    <w:rsid w:val="00A20F0A"/>
    <w:rsid w:val="00A3244D"/>
    <w:rsid w:val="00A62C77"/>
    <w:rsid w:val="00A74F8A"/>
    <w:rsid w:val="00A76943"/>
    <w:rsid w:val="00A8296F"/>
    <w:rsid w:val="00A94C95"/>
    <w:rsid w:val="00A95379"/>
    <w:rsid w:val="00A969FC"/>
    <w:rsid w:val="00AC558C"/>
    <w:rsid w:val="00AC6858"/>
    <w:rsid w:val="00AD6D2B"/>
    <w:rsid w:val="00AF6A37"/>
    <w:rsid w:val="00B00946"/>
    <w:rsid w:val="00B06E11"/>
    <w:rsid w:val="00B17CA5"/>
    <w:rsid w:val="00B2374D"/>
    <w:rsid w:val="00B24473"/>
    <w:rsid w:val="00B25E35"/>
    <w:rsid w:val="00B30556"/>
    <w:rsid w:val="00B35044"/>
    <w:rsid w:val="00B66B10"/>
    <w:rsid w:val="00B75430"/>
    <w:rsid w:val="00B766A9"/>
    <w:rsid w:val="00B834DC"/>
    <w:rsid w:val="00BA3159"/>
    <w:rsid w:val="00BB3507"/>
    <w:rsid w:val="00BC5049"/>
    <w:rsid w:val="00BD3A1C"/>
    <w:rsid w:val="00BD3B15"/>
    <w:rsid w:val="00BD4EA4"/>
    <w:rsid w:val="00BD7324"/>
    <w:rsid w:val="00BD7F96"/>
    <w:rsid w:val="00BE0FB4"/>
    <w:rsid w:val="00BF17D4"/>
    <w:rsid w:val="00BF1877"/>
    <w:rsid w:val="00C009D0"/>
    <w:rsid w:val="00C25BD1"/>
    <w:rsid w:val="00C347B5"/>
    <w:rsid w:val="00C37BA8"/>
    <w:rsid w:val="00C4791A"/>
    <w:rsid w:val="00C54006"/>
    <w:rsid w:val="00C56E60"/>
    <w:rsid w:val="00C576BB"/>
    <w:rsid w:val="00C74E4E"/>
    <w:rsid w:val="00C75750"/>
    <w:rsid w:val="00C90340"/>
    <w:rsid w:val="00CC313D"/>
    <w:rsid w:val="00CE0048"/>
    <w:rsid w:val="00CE11BB"/>
    <w:rsid w:val="00CE7B58"/>
    <w:rsid w:val="00CF0322"/>
    <w:rsid w:val="00CF0D6F"/>
    <w:rsid w:val="00CF1817"/>
    <w:rsid w:val="00CF1FF4"/>
    <w:rsid w:val="00D16C95"/>
    <w:rsid w:val="00D17BE9"/>
    <w:rsid w:val="00D23A67"/>
    <w:rsid w:val="00D3551A"/>
    <w:rsid w:val="00D40EBF"/>
    <w:rsid w:val="00D5587E"/>
    <w:rsid w:val="00D624B5"/>
    <w:rsid w:val="00D675A4"/>
    <w:rsid w:val="00D730E0"/>
    <w:rsid w:val="00D74070"/>
    <w:rsid w:val="00D90C41"/>
    <w:rsid w:val="00D95924"/>
    <w:rsid w:val="00DA6376"/>
    <w:rsid w:val="00DB1DD8"/>
    <w:rsid w:val="00DB5E71"/>
    <w:rsid w:val="00DC248F"/>
    <w:rsid w:val="00DC2C8F"/>
    <w:rsid w:val="00DC5ED4"/>
    <w:rsid w:val="00DC7A4C"/>
    <w:rsid w:val="00DD533A"/>
    <w:rsid w:val="00E01D08"/>
    <w:rsid w:val="00E049C7"/>
    <w:rsid w:val="00E36103"/>
    <w:rsid w:val="00E40B9D"/>
    <w:rsid w:val="00E421E2"/>
    <w:rsid w:val="00E61F59"/>
    <w:rsid w:val="00E61FD7"/>
    <w:rsid w:val="00E76CF6"/>
    <w:rsid w:val="00E76F68"/>
    <w:rsid w:val="00E86C1E"/>
    <w:rsid w:val="00EA2CEE"/>
    <w:rsid w:val="00EB2B90"/>
    <w:rsid w:val="00EB398F"/>
    <w:rsid w:val="00EB6EA0"/>
    <w:rsid w:val="00EC100D"/>
    <w:rsid w:val="00EC15A7"/>
    <w:rsid w:val="00EC71BC"/>
    <w:rsid w:val="00ED0BBB"/>
    <w:rsid w:val="00ED79FB"/>
    <w:rsid w:val="00EE1A9A"/>
    <w:rsid w:val="00EF7492"/>
    <w:rsid w:val="00EF77A1"/>
    <w:rsid w:val="00F00209"/>
    <w:rsid w:val="00F22961"/>
    <w:rsid w:val="00F22FC8"/>
    <w:rsid w:val="00F34567"/>
    <w:rsid w:val="00F35409"/>
    <w:rsid w:val="00F45C30"/>
    <w:rsid w:val="00F50AD1"/>
    <w:rsid w:val="00F53618"/>
    <w:rsid w:val="00F55A73"/>
    <w:rsid w:val="00F61667"/>
    <w:rsid w:val="00F6355B"/>
    <w:rsid w:val="00F80D4C"/>
    <w:rsid w:val="00F80FC9"/>
    <w:rsid w:val="00F91B46"/>
    <w:rsid w:val="00F9512E"/>
    <w:rsid w:val="00F95D73"/>
    <w:rsid w:val="00FA5C07"/>
    <w:rsid w:val="00FB26D0"/>
    <w:rsid w:val="00FC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71D2C"/>
  <w15:docId w15:val="{123A10BF-005F-428A-96C1-65CD9059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1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3191"/>
    <w:rPr>
      <w:sz w:val="18"/>
      <w:szCs w:val="18"/>
    </w:rPr>
  </w:style>
  <w:style w:type="paragraph" w:styleId="a5">
    <w:name w:val="footer"/>
    <w:basedOn w:val="a"/>
    <w:link w:val="a6"/>
    <w:uiPriority w:val="99"/>
    <w:unhideWhenUsed/>
    <w:rsid w:val="006F3191"/>
    <w:pPr>
      <w:tabs>
        <w:tab w:val="center" w:pos="4153"/>
        <w:tab w:val="right" w:pos="8306"/>
      </w:tabs>
      <w:snapToGrid w:val="0"/>
      <w:jc w:val="left"/>
    </w:pPr>
    <w:rPr>
      <w:sz w:val="18"/>
      <w:szCs w:val="18"/>
    </w:rPr>
  </w:style>
  <w:style w:type="character" w:customStyle="1" w:styleId="a6">
    <w:name w:val="页脚 字符"/>
    <w:basedOn w:val="a0"/>
    <w:link w:val="a5"/>
    <w:uiPriority w:val="99"/>
    <w:rsid w:val="006F3191"/>
    <w:rPr>
      <w:sz w:val="18"/>
      <w:szCs w:val="18"/>
    </w:rPr>
  </w:style>
  <w:style w:type="character" w:styleId="a7">
    <w:name w:val="Strong"/>
    <w:basedOn w:val="a0"/>
    <w:uiPriority w:val="22"/>
    <w:qFormat/>
    <w:rsid w:val="00C3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5333">
      <w:bodyDiv w:val="1"/>
      <w:marLeft w:val="0"/>
      <w:marRight w:val="0"/>
      <w:marTop w:val="0"/>
      <w:marBottom w:val="0"/>
      <w:divBdr>
        <w:top w:val="none" w:sz="0" w:space="0" w:color="auto"/>
        <w:left w:val="none" w:sz="0" w:space="0" w:color="auto"/>
        <w:bottom w:val="none" w:sz="0" w:space="0" w:color="auto"/>
        <w:right w:val="none" w:sz="0" w:space="0" w:color="auto"/>
      </w:divBdr>
    </w:div>
    <w:div w:id="1030835047">
      <w:bodyDiv w:val="1"/>
      <w:marLeft w:val="0"/>
      <w:marRight w:val="0"/>
      <w:marTop w:val="0"/>
      <w:marBottom w:val="0"/>
      <w:divBdr>
        <w:top w:val="none" w:sz="0" w:space="0" w:color="auto"/>
        <w:left w:val="none" w:sz="0" w:space="0" w:color="auto"/>
        <w:bottom w:val="none" w:sz="0" w:space="0" w:color="auto"/>
        <w:right w:val="none" w:sz="0" w:space="0" w:color="auto"/>
      </w:divBdr>
    </w:div>
    <w:div w:id="143485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400</Words>
  <Characters>2285</Characters>
  <Application>Microsoft Office Word</Application>
  <DocSecurity>0</DocSecurity>
  <Lines>19</Lines>
  <Paragraphs>5</Paragraphs>
  <ScaleCrop>false</ScaleCrop>
  <Company>Microsoft</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总管理处－钱龙宝</cp:lastModifiedBy>
  <cp:revision>82</cp:revision>
  <cp:lastPrinted>2026-01-12T06:07:00Z</cp:lastPrinted>
  <dcterms:created xsi:type="dcterms:W3CDTF">2017-05-11T07:02:00Z</dcterms:created>
  <dcterms:modified xsi:type="dcterms:W3CDTF">2026-01-27T09:22:00Z</dcterms:modified>
</cp:coreProperties>
</file>