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0C6A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6712248A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410703C6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编号：2026-002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491B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7FE3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AB468E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8A5ACC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0A3F2CD0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2E0872A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21C539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9FBE90A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44DFCE6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1349DDC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46AAC4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7F42C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14D4C8F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5B39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FBEF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88F2"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28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日1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  现场会议</w:t>
            </w:r>
          </w:p>
          <w:p w14:paraId="06E5E5B6">
            <w:pPr>
              <w:pStyle w:val="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长江证券马祥云、赵增辉、熊锋、马月、谢金彤、陈曦，国信证券丁宸，浙商证券资管范远韬，国泰海通资管徐馨依，长江养老保险黄静，东方证券刘星宇，申万宏源姚雨薇，华泰保兴基金袁静雅，招商资管段夏青，国联资管黄志宇，国海证券资管梁云清，鹏扬基金解紫淳，国泰海通资管朱莹，南京证券王蔚辰，上海证券周春欣，方正富邦基金周子豪，长城证券姚宁，国金基金张畅，华创证券何逸朦</w:t>
            </w:r>
            <w:bookmarkStart w:id="0" w:name="_GoBack"/>
            <w:bookmarkEnd w:id="0"/>
          </w:p>
          <w:p w14:paraId="67A2953E">
            <w:pPr>
              <w:pStyle w:val="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29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日1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  电话会议</w:t>
            </w:r>
          </w:p>
          <w:p w14:paraId="6BA27F0B">
            <w:pPr>
              <w:pStyle w:val="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中信证券肖斐斐、林楠，</w:t>
            </w:r>
            <w:r>
              <w:rPr>
                <w:rFonts w:ascii="Times New Roman" w:hAnsi="Times New Roman"/>
                <w:szCs w:val="21"/>
              </w:rPr>
              <w:t>Vont</w:t>
            </w:r>
            <w:r>
              <w:rPr>
                <w:rFonts w:hint="default" w:ascii="Times New Roman" w:hAnsi="Times New Roman"/>
                <w:szCs w:val="21"/>
                <w:lang w:val="en-US"/>
              </w:rPr>
              <w:t>o</w:t>
            </w:r>
            <w:r>
              <w:rPr>
                <w:rFonts w:ascii="Times New Roman" w:hAnsi="Times New Roman"/>
                <w:szCs w:val="21"/>
              </w:rPr>
              <w:t>bel Cindy</w:t>
            </w:r>
            <w:r>
              <w:rPr>
                <w:rFonts w:hint="eastAsia" w:ascii="Times New Roman" w:hAnsi="Times New Roman"/>
                <w:szCs w:val="21"/>
              </w:rPr>
              <w:t>，易方达基金沐华，国寿资产周洁，中欧基金陈巍，大成基金徐雄晖，天弘基金杜广</w:t>
            </w:r>
          </w:p>
        </w:tc>
      </w:tr>
      <w:tr w14:paraId="461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9F75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8A68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60F2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A81F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340259B9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94C2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金融</w:t>
            </w:r>
            <w:r>
              <w:rPr>
                <w:rFonts w:ascii="Times New Roman" w:hAnsi="Times New Roman"/>
                <w:szCs w:val="21"/>
              </w:rPr>
              <w:t>市场部、个人信贷部、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348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9152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F887"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1. 结合资产和负债两端，请问贵行采取哪些措施稳定息差？</w:t>
            </w:r>
          </w:p>
          <w:p w14:paraId="0975915B">
            <w:pPr>
              <w:pStyle w:val="4"/>
              <w:spacing w:after="0"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答：2</w:t>
            </w:r>
            <w:r>
              <w:rPr>
                <w:rFonts w:ascii="Times New Roman" w:hAnsi="Times New Roman"/>
              </w:rPr>
              <w:t>025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前三季度，本行</w:t>
            </w:r>
            <w:r>
              <w:rPr>
                <w:rFonts w:hint="eastAsia" w:ascii="Times New Roman" w:hAnsi="Times New Roman"/>
              </w:rPr>
              <w:t>净</w:t>
            </w:r>
            <w:r>
              <w:rPr>
                <w:rFonts w:ascii="Times New Roman" w:hAnsi="Times New Roman"/>
              </w:rPr>
              <w:t>息差</w:t>
            </w:r>
            <w:r>
              <w:rPr>
                <w:rFonts w:hint="eastAsia" w:ascii="Times New Roman" w:hAnsi="Times New Roman"/>
              </w:rPr>
              <w:t>1.54</w:t>
            </w:r>
            <w:r>
              <w:rPr>
                <w:rFonts w:ascii="Times New Roman" w:hAnsi="Times New Roman"/>
              </w:rPr>
              <w:t>%，较</w:t>
            </w:r>
            <w:r>
              <w:rPr>
                <w:rFonts w:hint="eastAsia" w:ascii="Times New Roman" w:hAnsi="Times New Roman"/>
                <w:lang w:val="en-US" w:eastAsia="zh-CN"/>
              </w:rPr>
              <w:t>2024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>提升</w:t>
            </w:r>
            <w:r>
              <w:rPr>
                <w:rFonts w:hint="eastAsia" w:ascii="Times New Roman" w:hAnsi="Times New Roman"/>
              </w:rPr>
              <w:t>3BP。一是优化资产组合管理，鼓励加大贷款投放，绿色、科创、制造业等重点领域业务实现较快增长；</w:t>
            </w:r>
            <w:r>
              <w:rPr>
                <w:rFonts w:ascii="Times New Roman" w:hAnsi="Times New Roman"/>
              </w:rPr>
              <w:t>加强定价精细化管理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着力</w:t>
            </w:r>
            <w:r>
              <w:rPr>
                <w:rFonts w:hint="eastAsia" w:ascii="Times New Roman" w:hAnsi="Times New Roman"/>
              </w:rPr>
              <w:t>稳定资产端收益水平。二是统筹资金来源，完善多元化负债体系，积极拓展低成本存款，有序下调存款利率；充分利用央行低成本资金，择机吸收市场化资金，持续引导付息负债成本率</w:t>
            </w:r>
            <w:r>
              <w:rPr>
                <w:rFonts w:ascii="Times New Roman" w:hAnsi="Times New Roman"/>
              </w:rPr>
              <w:t>压降</w:t>
            </w:r>
            <w:r>
              <w:rPr>
                <w:rFonts w:hint="eastAsia" w:ascii="Times New Roman" w:hAnsi="Times New Roman"/>
              </w:rPr>
              <w:t>，有效缓冲了资产端收益率下行压力。</w:t>
            </w:r>
          </w:p>
          <w:p w14:paraId="5926FE23">
            <w:pPr>
              <w:pStyle w:val="4"/>
              <w:spacing w:after="0" w:line="360" w:lineRule="exact"/>
              <w:ind w:firstLine="42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 贵行不良率持续改善，主要采取了</w:t>
            </w:r>
            <w:r>
              <w:rPr>
                <w:rFonts w:ascii="Times New Roman" w:hAnsi="Times New Roman"/>
                <w:b/>
                <w:bCs/>
              </w:rPr>
              <w:t>哪些</w:t>
            </w:r>
            <w:r>
              <w:rPr>
                <w:rFonts w:hint="eastAsia" w:ascii="Times New Roman" w:hAnsi="Times New Roman"/>
                <w:b/>
                <w:bCs/>
              </w:rPr>
              <w:t>管控</w:t>
            </w:r>
            <w:r>
              <w:rPr>
                <w:rFonts w:ascii="Times New Roman" w:hAnsi="Times New Roman"/>
                <w:b/>
                <w:bCs/>
              </w:rPr>
              <w:t>措施，</w:t>
            </w:r>
            <w:r>
              <w:rPr>
                <w:rFonts w:hint="eastAsia" w:ascii="Times New Roman" w:hAnsi="Times New Roman"/>
                <w:b/>
                <w:bCs/>
              </w:rPr>
              <w:t>如何展望后续资产质量趋势？</w:t>
            </w:r>
          </w:p>
          <w:p w14:paraId="36A8D6E5">
            <w:pPr>
              <w:pStyle w:val="4"/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答：本行持续强化风险前瞻和主动管理，纵深推进信贷结构调整，强化重点业务、重点机构管控，多措并举拓宽处置渠道，有效提升资产保全质效，资产质量</w:t>
            </w:r>
            <w:r>
              <w:rPr>
                <w:rFonts w:ascii="Times New Roman" w:hAnsi="Times New Roman"/>
              </w:rPr>
              <w:t>持续优化</w:t>
            </w:r>
            <w:r>
              <w:rPr>
                <w:rFonts w:hint="eastAsia" w:ascii="Times New Roman" w:hAnsi="Times New Roman"/>
              </w:rPr>
              <w:t>。截至2025年三季度末，本行不良贷款率1.09%，较</w:t>
            </w:r>
            <w:r>
              <w:rPr>
                <w:rFonts w:hint="eastAsia" w:ascii="Times New Roman" w:hAnsi="Times New Roman"/>
                <w:lang w:val="en-US" w:eastAsia="zh-CN"/>
              </w:rPr>
              <w:t>2024年末</w:t>
            </w:r>
            <w:r>
              <w:rPr>
                <w:rFonts w:hint="eastAsia" w:ascii="Times New Roman" w:hAnsi="Times New Roman"/>
              </w:rPr>
              <w:t>下降0.10个百分点；拨备覆盖率351.43%，较</w:t>
            </w:r>
            <w:r>
              <w:rPr>
                <w:rFonts w:hint="eastAsia" w:ascii="Times New Roman" w:hAnsi="Times New Roman"/>
                <w:lang w:val="en-US" w:eastAsia="zh-CN"/>
              </w:rPr>
              <w:t>2024年末</w:t>
            </w:r>
            <w:r>
              <w:rPr>
                <w:rFonts w:hint="eastAsia" w:ascii="Times New Roman" w:hAnsi="Times New Roman"/>
              </w:rPr>
              <w:t>提高29.05个百分点。下一步，本行将统筹抓好业务发展和风险控制，有序推进重点领域风险化解，预计资产质量保持稳中向好的趋势。</w:t>
            </w:r>
          </w:p>
        </w:tc>
      </w:tr>
      <w:tr w14:paraId="31A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B465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3928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14:paraId="61C2158A">
      <w:pPr>
        <w:widowControl/>
        <w:spacing w:line="20" w:lineRule="exact"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C88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63E96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63E96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D13B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60C"/>
    <w:rsid w:val="00003C5F"/>
    <w:rsid w:val="00004450"/>
    <w:rsid w:val="000163C5"/>
    <w:rsid w:val="0002108D"/>
    <w:rsid w:val="00021AB3"/>
    <w:rsid w:val="000324A0"/>
    <w:rsid w:val="000327F7"/>
    <w:rsid w:val="000340F8"/>
    <w:rsid w:val="00034278"/>
    <w:rsid w:val="0003699D"/>
    <w:rsid w:val="00037382"/>
    <w:rsid w:val="00044A8C"/>
    <w:rsid w:val="000466D9"/>
    <w:rsid w:val="00050651"/>
    <w:rsid w:val="000530BF"/>
    <w:rsid w:val="000557CB"/>
    <w:rsid w:val="00060EC2"/>
    <w:rsid w:val="0006462C"/>
    <w:rsid w:val="000655EE"/>
    <w:rsid w:val="00070C53"/>
    <w:rsid w:val="00074BDA"/>
    <w:rsid w:val="00075112"/>
    <w:rsid w:val="00086803"/>
    <w:rsid w:val="00087466"/>
    <w:rsid w:val="000935B7"/>
    <w:rsid w:val="000941C1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E8E"/>
    <w:rsid w:val="0015525B"/>
    <w:rsid w:val="00164A8E"/>
    <w:rsid w:val="001905A8"/>
    <w:rsid w:val="001913A7"/>
    <w:rsid w:val="001A3147"/>
    <w:rsid w:val="001B64A4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640E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C99"/>
    <w:rsid w:val="0035341F"/>
    <w:rsid w:val="00353455"/>
    <w:rsid w:val="003547F7"/>
    <w:rsid w:val="00381C41"/>
    <w:rsid w:val="00382046"/>
    <w:rsid w:val="00386A5D"/>
    <w:rsid w:val="003900EB"/>
    <w:rsid w:val="003977F7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17874"/>
    <w:rsid w:val="00422B11"/>
    <w:rsid w:val="00437123"/>
    <w:rsid w:val="00441362"/>
    <w:rsid w:val="004419F4"/>
    <w:rsid w:val="00442A0D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24D7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37946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3E25"/>
    <w:rsid w:val="005C5336"/>
    <w:rsid w:val="005C55D1"/>
    <w:rsid w:val="005F4343"/>
    <w:rsid w:val="005F4AE2"/>
    <w:rsid w:val="005F64AA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0F85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36AE"/>
    <w:rsid w:val="008253C7"/>
    <w:rsid w:val="00845C1E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1729E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83F1C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47BF2"/>
    <w:rsid w:val="00A5372C"/>
    <w:rsid w:val="00A55ECB"/>
    <w:rsid w:val="00A609D7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76C3D"/>
    <w:rsid w:val="00B82417"/>
    <w:rsid w:val="00B87438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799"/>
    <w:rsid w:val="00DA23BA"/>
    <w:rsid w:val="00DA2A87"/>
    <w:rsid w:val="00DA65A6"/>
    <w:rsid w:val="00DA6FB9"/>
    <w:rsid w:val="00DC3D15"/>
    <w:rsid w:val="00DD25E8"/>
    <w:rsid w:val="00DD3760"/>
    <w:rsid w:val="00DE13B8"/>
    <w:rsid w:val="00DE47CA"/>
    <w:rsid w:val="00DE4EFE"/>
    <w:rsid w:val="00DE7C41"/>
    <w:rsid w:val="00DF36BD"/>
    <w:rsid w:val="00E008B9"/>
    <w:rsid w:val="00E04B0B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4665"/>
    <w:rsid w:val="00E8629E"/>
    <w:rsid w:val="00E92DC1"/>
    <w:rsid w:val="00E93AD7"/>
    <w:rsid w:val="00EA3004"/>
    <w:rsid w:val="00EA3373"/>
    <w:rsid w:val="00EA610D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057DCA"/>
    <w:rsid w:val="09BA1218"/>
    <w:rsid w:val="09EF6C13"/>
    <w:rsid w:val="0A216D3B"/>
    <w:rsid w:val="0B1D7273"/>
    <w:rsid w:val="0BF814AE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1365128"/>
    <w:rsid w:val="12144D2F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97C6C68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9933493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CEA29C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A27EA2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825</Words>
  <Characters>920</Characters>
  <Lines>8</Lines>
  <Paragraphs>2</Paragraphs>
  <TotalTime>34</TotalTime>
  <ScaleCrop>false</ScaleCrop>
  <LinksUpToDate>false</LinksUpToDate>
  <CharactersWithSpaces>1017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邱怡燕</cp:lastModifiedBy>
  <dcterms:modified xsi:type="dcterms:W3CDTF">2026-01-30T08:50:42Z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E15D78F3752D4AC0AD565B11FF6C939A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