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宋体" w:hAnsi="宋体"/>
          <w:b/>
          <w:bCs/>
          <w:i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iCs/>
          <w:color w:val="000000"/>
          <w:sz w:val="36"/>
          <w:szCs w:val="36"/>
        </w:rPr>
        <w:t>海南矿业股份有限公司</w:t>
      </w:r>
    </w:p>
    <w:p>
      <w:pPr>
        <w:jc w:val="center"/>
        <w:rPr>
          <w:rFonts w:hint="eastAsia" w:ascii="宋体" w:hAnsi="宋体"/>
          <w:b/>
          <w:bCs/>
          <w:i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iCs/>
          <w:color w:val="000000"/>
          <w:sz w:val="36"/>
          <w:szCs w:val="36"/>
        </w:rPr>
        <w:t>投资者关系活动记录表</w:t>
      </w:r>
    </w:p>
    <w:p>
      <w:pPr>
        <w:spacing w:line="400" w:lineRule="exact"/>
        <w:rPr>
          <w:rFonts w:hint="eastAsia"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  编号：20</w:t>
      </w:r>
      <w:r>
        <w:rPr>
          <w:rFonts w:ascii="宋体" w:hAnsi="宋体"/>
          <w:bCs/>
          <w:iCs/>
          <w:color w:val="000000"/>
          <w:sz w:val="24"/>
        </w:rPr>
        <w:t>2</w:t>
      </w:r>
      <w:r>
        <w:rPr>
          <w:rFonts w:hint="eastAsia" w:ascii="宋体" w:hAnsi="宋体"/>
          <w:bCs/>
          <w:iCs/>
          <w:color w:val="000000"/>
          <w:sz w:val="24"/>
        </w:rPr>
        <w:t>6-001</w:t>
      </w:r>
    </w:p>
    <w:tbl>
      <w:tblPr>
        <w:tblStyle w:val="7"/>
        <w:tblW w:w="5806" w:type="pct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8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80" w:lineRule="exact"/>
              <w:jc w:val="center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rPr>
                <w:rFonts w:hint="eastAsia" w:ascii="宋体" w:hAnsi="宋体"/>
                <w:bCs/>
                <w:iCs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特定对象调研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iCs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分析师会议</w:t>
            </w:r>
          </w:p>
          <w:p>
            <w:pPr>
              <w:spacing w:before="93" w:beforeLines="30" w:after="93" w:afterLines="30"/>
              <w:rPr>
                <w:rFonts w:hint="eastAsia" w:ascii="宋体" w:hAnsi="宋体"/>
                <w:bCs/>
                <w:iCs/>
                <w:sz w:val="24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媒体采访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iCs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业绩说明会</w:t>
            </w:r>
          </w:p>
          <w:p>
            <w:pPr>
              <w:spacing w:before="93" w:beforeLines="30" w:after="93" w:afterLines="30"/>
              <w:rPr>
                <w:rFonts w:hint="eastAsia" w:ascii="宋体" w:hAnsi="宋体"/>
                <w:bCs/>
                <w:iCs/>
                <w:sz w:val="24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新闻发布会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iCs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before="93" w:beforeLines="30" w:after="93" w:afterLines="3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现场参观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iCs/>
                <w:sz w:val="24"/>
              </w:rPr>
              <w:t>√</w:t>
            </w:r>
            <w:r>
              <w:rPr>
                <w:rFonts w:hint="eastAsia" w:ascii="宋体" w:hAnsi="宋体"/>
                <w:sz w:val="24"/>
              </w:rPr>
              <w:t>电话会议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ab/>
            </w:r>
          </w:p>
          <w:p>
            <w:pPr>
              <w:tabs>
                <w:tab w:val="center" w:pos="3199"/>
              </w:tabs>
              <w:spacing w:before="93" w:beforeLines="30" w:after="93" w:afterLines="3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其他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80" w:lineRule="exact"/>
              <w:jc w:val="center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参与单位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60" w:lineRule="exact"/>
              <w:rPr>
                <w:rFonts w:hint="eastAsia" w:ascii="宋体" w:hAnsi="宋体"/>
                <w:bCs/>
                <w:iCs/>
                <w:sz w:val="24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t>西部利得基金、太平科技保险、</w:t>
            </w:r>
            <w:r>
              <w:rPr>
                <w:rFonts w:ascii="宋体" w:hAnsi="宋体"/>
                <w:bCs/>
                <w:iCs/>
                <w:sz w:val="24"/>
              </w:rPr>
              <w:t>ArtIvet Cap</w:t>
            </w:r>
            <w:r>
              <w:rPr>
                <w:rFonts w:hint="eastAsia" w:ascii="宋体" w:hAnsi="宋体"/>
                <w:bCs/>
                <w:iCs/>
                <w:sz w:val="24"/>
              </w:rPr>
              <w:t>、泓铭资本、深圳市珞瑜私募基金、苏州君榕资产、北京容光私募基金、上海五地私募基金、 苏州正源信毅资产、上海胤胜资产、宁波莲盛投资、西安江岳私募基金、上海途灵资产、深圳中天汇富基金、上海度势投资、耕霁(上海)投资、平安银行、南洋商业银行等机构投资者及个人投资者</w:t>
            </w:r>
          </w:p>
          <w:p>
            <w:pPr>
              <w:spacing w:before="93" w:beforeLines="30" w:after="93" w:afterLines="30" w:line="360" w:lineRule="exact"/>
              <w:rPr>
                <w:rFonts w:hint="eastAsia" w:ascii="宋体" w:hAnsi="宋体"/>
                <w:bCs/>
                <w:iCs/>
                <w:sz w:val="24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t xml:space="preserve">广发证券、中信证券、东吴证券、浙商证券、中邮证券、五矿证券、西部证券、申银万国证券、招商证券、华西证券、平安证券、国金证券、国信证券、财通证券等分析师 </w:t>
            </w:r>
          </w:p>
          <w:p>
            <w:pPr>
              <w:spacing w:before="93" w:beforeLines="30" w:after="93" w:afterLines="30" w:line="360" w:lineRule="exact"/>
              <w:rPr>
                <w:rFonts w:hint="eastAsia" w:ascii="宋体" w:hAnsi="宋体"/>
                <w:bCs/>
                <w:iCs/>
                <w:sz w:val="24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t>（排名不分先后）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80" w:lineRule="exact"/>
              <w:jc w:val="center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时间及主题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6年2月11日 10:00-11:00</w:t>
            </w:r>
          </w:p>
          <w:p>
            <w:pPr>
              <w:spacing w:before="93" w:beforeLines="30" w:after="93" w:afterLines="30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发行股份及支付现金购买资产并募集配套资金事项交流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80" w:lineRule="exact"/>
              <w:jc w:val="center"/>
              <w:rPr>
                <w:rFonts w:hint="eastAsia" w:ascii="宋体" w:hAnsi="宋体"/>
                <w:bCs/>
                <w:iCs/>
                <w:sz w:val="24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t>地    点/沟通方式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rPr>
                <w:rFonts w:hint="eastAsia" w:ascii="宋体" w:hAnsi="宋体"/>
                <w:bCs/>
                <w:iCs/>
                <w:sz w:val="24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t>进门财经 线上会议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80" w:lineRule="exact"/>
              <w:jc w:val="center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上市公司参与人员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400" w:lineRule="exac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副总裁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董事会秘书 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 xml:space="preserve">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              何 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婧</w:t>
            </w:r>
          </w:p>
          <w:p>
            <w:pPr>
              <w:spacing w:before="93" w:beforeLines="30" w:after="93" w:afterLines="30" w:line="400" w:lineRule="exac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首席投资官、投资董事总经理 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张 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80" w:lineRule="exact"/>
              <w:jc w:val="center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一、公司领导对本次交易介绍</w:t>
            </w:r>
          </w:p>
          <w:p>
            <w:pPr>
              <w:tabs>
                <w:tab w:val="left" w:pos="3555"/>
              </w:tabs>
              <w:spacing w:line="276" w:lineRule="auto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（一）标的资产概况</w:t>
            </w:r>
            <w:r>
              <w:rPr>
                <w:b/>
                <w:bCs/>
              </w:rPr>
              <w:tab/>
            </w:r>
          </w:p>
          <w:p>
            <w:pPr>
              <w:spacing w:line="276" w:lineRule="auto"/>
              <w:jc w:val="left"/>
            </w:pPr>
            <w:r>
              <w:rPr>
                <w:rFonts w:hint="eastAsia"/>
              </w:rPr>
              <w:t>丰瑞氟业2007年成立，主营萤石矿开发、生产与销售，是国内高品位单一型萤石矿山，核心资产位于河南省栾川县。</w:t>
            </w:r>
          </w:p>
          <w:p>
            <w:pPr>
              <w:spacing w:line="276" w:lineRule="auto"/>
              <w:jc w:val="left"/>
            </w:pPr>
            <w:r>
              <w:rPr>
                <w:rFonts w:hint="eastAsia"/>
                <w:b/>
                <w:bCs/>
              </w:rPr>
              <w:t>1. 资源与产能：</w:t>
            </w:r>
            <w:r>
              <w:rPr>
                <w:rFonts w:hint="eastAsia"/>
              </w:rPr>
              <w:t>拥有8个采矿权（2在产、2在建），采矿面积9.86平方公里，核准年产能77万吨；2025年底保有资源量1350万吨、矿物量635万吨，平均品位47.07%，</w:t>
            </w:r>
            <w:r>
              <w:rPr>
                <w:rFonts w:hint="default"/>
                <w:woUserID w:val="1"/>
              </w:rPr>
              <w:t>其中</w:t>
            </w:r>
            <w:r>
              <w:rPr>
                <w:rFonts w:hint="eastAsia"/>
              </w:rPr>
              <w:t>马丢矿山储量与产能均居全国第二。</w:t>
            </w:r>
          </w:p>
          <w:p>
            <w:pPr>
              <w:spacing w:line="276" w:lineRule="auto"/>
              <w:jc w:val="left"/>
            </w:pPr>
            <w:r>
              <w:rPr>
                <w:rFonts w:hint="eastAsia"/>
                <w:b/>
                <w:bCs/>
              </w:rPr>
              <w:t>2. 业务与产品：</w:t>
            </w:r>
            <w:r>
              <w:rPr>
                <w:rFonts w:hint="eastAsia"/>
              </w:rPr>
              <w:t>实现采矿-选矿-化工一体化经营，资源利用率高；核心产品为萤石块矿（</w:t>
            </w:r>
            <w:r>
              <w:rPr>
                <w:rFonts w:hint="eastAsia"/>
                <w:woUserID w:val="2"/>
              </w:rPr>
              <w:t>CaF₂</w:t>
            </w:r>
            <w:r>
              <w:rPr>
                <w:rFonts w:hint="default"/>
                <w:woUserID w:val="2"/>
              </w:rPr>
              <w:t>含量</w:t>
            </w:r>
            <w:bookmarkStart w:id="0" w:name="_GoBack"/>
            <w:bookmarkEnd w:id="0"/>
            <w:r>
              <w:rPr>
                <w:rFonts w:hint="eastAsia"/>
              </w:rPr>
              <w:t>80%-85%，冶金助熔剂）、萤石精粉（CaF₂≥97%，氟化工核心原料）、无水氟化氢（产品下游覆盖制冷剂、新能源、AI液冷、航空航天、5G等领域）。</w:t>
            </w:r>
          </w:p>
          <w:p>
            <w:pPr>
              <w:spacing w:line="276" w:lineRule="auto"/>
              <w:jc w:val="left"/>
            </w:pPr>
            <w:r>
              <w:rPr>
                <w:rFonts w:hint="eastAsia"/>
                <w:b/>
                <w:bCs/>
              </w:rPr>
              <w:t>3. 财务表现：</w:t>
            </w:r>
            <w:r>
              <w:rPr>
                <w:rFonts w:hint="eastAsia"/>
              </w:rPr>
              <w:t>业绩稳步增长，2023/2024年净利润分别为1.14/1.36亿元；2025年1-9月营收4.95亿元，净利润同比提升。</w:t>
            </w:r>
          </w:p>
          <w:p>
            <w:pPr>
              <w:spacing w:line="276" w:lineRule="auto"/>
              <w:jc w:val="left"/>
            </w:pPr>
            <w:r>
              <w:rPr>
                <w:rFonts w:hint="eastAsia"/>
                <w:b/>
                <w:bCs/>
              </w:rPr>
              <w:t>4. 核心优势：</w:t>
            </w:r>
            <w:r>
              <w:rPr>
                <w:rFonts w:hint="eastAsia"/>
              </w:rPr>
              <w:t>储量和产能规模优势（马丢矿山储量规模全国第二、采矿产能全国第二）；采、选矿技术优势（自主研发充填采矿工艺，预抛废石提效增值）；产品质量优势（单一型稀缺矿山、品位高、产品品质稳定）；矿区地理位置优势（选厂近、毗邻氟化工集群运输管理成本低、矿区周边存在高潜力萤石资源，具备后续整合空间）</w:t>
            </w:r>
          </w:p>
          <w:p>
            <w:pPr>
              <w:spacing w:line="276" w:lineRule="auto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（二）交易核心方案</w:t>
            </w:r>
          </w:p>
          <w:p>
            <w:pPr>
              <w:spacing w:line="276" w:lineRule="auto"/>
              <w:jc w:val="left"/>
            </w:pPr>
            <w:r>
              <w:rPr>
                <w:rFonts w:hint="eastAsia"/>
                <w:b/>
                <w:bCs/>
              </w:rPr>
              <w:t>1. 收购标的：</w:t>
            </w:r>
            <w:r>
              <w:rPr>
                <w:rFonts w:hint="eastAsia"/>
              </w:rPr>
              <w:t>丰瑞氟业实控人王忠喜及其一致行动人持有的69.90%股权，交易完成后海南矿业持股比例将达85.69%，实现绝对控股。</w:t>
            </w:r>
          </w:p>
          <w:p>
            <w:pPr>
              <w:spacing w:line="276" w:lineRule="auto"/>
              <w:jc w:val="left"/>
            </w:pPr>
            <w:r>
              <w:rPr>
                <w:rFonts w:hint="eastAsia"/>
                <w:b/>
                <w:bCs/>
              </w:rPr>
              <w:t>2. 支付方式：</w:t>
            </w:r>
            <w:r>
              <w:rPr>
                <w:rFonts w:hint="eastAsia"/>
              </w:rPr>
              <w:t>王忠喜约30%股权以现金支付，其余股权及一致行动人股份均以发行股份支付；股份发行价格为8.60元/股（定价基准日前120个交易日均价8折）。</w:t>
            </w:r>
          </w:p>
          <w:p>
            <w:pPr>
              <w:spacing w:line="276" w:lineRule="auto"/>
              <w:jc w:val="left"/>
            </w:pPr>
            <w:r>
              <w:rPr>
                <w:rFonts w:hint="eastAsia"/>
                <w:b/>
                <w:bCs/>
              </w:rPr>
              <w:t>3. 配套募资：</w:t>
            </w:r>
            <w:r>
              <w:rPr>
                <w:rFonts w:hint="eastAsia"/>
              </w:rPr>
              <w:t>拟向不超过35名特定投资者募资，规模不超股份支付对价的100%且不超公司总股本30%；发行价格以</w:t>
            </w:r>
            <w:r>
              <w:rPr>
                <w:rFonts w:hint="default"/>
                <w:woUserID w:val="1"/>
              </w:rPr>
              <w:t>届时的定价基准日</w:t>
            </w:r>
            <w:r>
              <w:rPr>
                <w:rFonts w:hint="eastAsia"/>
              </w:rPr>
              <w:t>首日前20个交易日均价8折为底价，采用询价方式确定，募资用于支付现金对价、补充流动资金、偿还债务等。</w:t>
            </w:r>
          </w:p>
          <w:p>
            <w:pPr>
              <w:spacing w:line="276" w:lineRule="auto"/>
              <w:jc w:val="left"/>
            </w:pPr>
            <w:r>
              <w:rPr>
                <w:rFonts w:hint="eastAsia"/>
                <w:b/>
                <w:bCs/>
              </w:rPr>
              <w:t>4. 交易价格：</w:t>
            </w:r>
            <w:r>
              <w:rPr>
                <w:rFonts w:hint="eastAsia"/>
              </w:rPr>
              <w:t>暂未最终确定，需待审计评估完成后以评估值为基准协商。</w:t>
            </w:r>
          </w:p>
          <w:p>
            <w:pPr>
              <w:spacing w:line="276" w:lineRule="auto"/>
              <w:jc w:val="left"/>
              <w:rPr>
                <w:highlight w:val="none"/>
              </w:rPr>
            </w:pPr>
            <w:r>
              <w:rPr>
                <w:rFonts w:hint="eastAsia"/>
                <w:b/>
                <w:bCs/>
              </w:rPr>
              <w:t>5. 时间规划：</w:t>
            </w:r>
            <w:r>
              <w:rPr>
                <w:rFonts w:hint="eastAsia"/>
              </w:rPr>
              <w:t>2月已</w:t>
            </w:r>
            <w:r>
              <w:rPr>
                <w:rFonts w:hint="default"/>
                <w:woUserID w:val="1"/>
              </w:rPr>
              <w:t>签署框架协议，</w:t>
            </w:r>
            <w:r>
              <w:rPr>
                <w:rFonts w:hint="eastAsia"/>
                <w:highlight w:val="none"/>
              </w:rPr>
              <w:t>计</w:t>
            </w:r>
            <w:r>
              <w:rPr>
                <w:rFonts w:hint="default"/>
                <w:highlight w:val="none"/>
                <w:woUserID w:val="1"/>
              </w:rPr>
              <w:t>划</w:t>
            </w:r>
            <w:r>
              <w:rPr>
                <w:rFonts w:hint="eastAsia"/>
                <w:highlight w:val="none"/>
              </w:rPr>
              <w:t>2026年4月完成审计评估</w:t>
            </w:r>
            <w:r>
              <w:rPr>
                <w:rFonts w:hint="default"/>
                <w:highlight w:val="none"/>
                <w:woUserID w:val="1"/>
              </w:rPr>
              <w:t>，</w:t>
            </w:r>
            <w:r>
              <w:rPr>
                <w:rFonts w:hint="eastAsia"/>
                <w:highlight w:val="none"/>
              </w:rPr>
              <w:t>签署正式协议</w:t>
            </w:r>
            <w:r>
              <w:rPr>
                <w:rFonts w:hint="default"/>
                <w:highlight w:val="none"/>
                <w:woUserID w:val="1"/>
              </w:rPr>
              <w:t>并再次提交董事会审议，</w:t>
            </w:r>
            <w:r>
              <w:rPr>
                <w:rFonts w:hint="eastAsia"/>
                <w:highlight w:val="none"/>
              </w:rPr>
              <w:t>后续</w:t>
            </w:r>
            <w:r>
              <w:rPr>
                <w:rFonts w:hint="default"/>
                <w:highlight w:val="none"/>
                <w:woUserID w:val="1"/>
              </w:rPr>
              <w:t>还将</w:t>
            </w:r>
            <w:r>
              <w:rPr>
                <w:rFonts w:hint="eastAsia"/>
                <w:highlight w:val="none"/>
              </w:rPr>
              <w:t>提交股东会</w:t>
            </w:r>
            <w:r>
              <w:rPr>
                <w:rFonts w:hint="default"/>
                <w:highlight w:val="none"/>
                <w:woUserID w:val="1"/>
              </w:rPr>
              <w:t>审议，并报送</w:t>
            </w:r>
            <w:r>
              <w:rPr>
                <w:rFonts w:hint="eastAsia"/>
                <w:highlight w:val="none"/>
              </w:rPr>
              <w:t>上交所审核</w:t>
            </w:r>
            <w:r>
              <w:rPr>
                <w:rFonts w:hint="default"/>
                <w:highlight w:val="none"/>
                <w:woUserID w:val="1"/>
              </w:rPr>
              <w:t>通过后提交证监会注册，审核周期正常为4-6个月</w:t>
            </w:r>
            <w:r>
              <w:rPr>
                <w:rFonts w:hint="eastAsia"/>
                <w:highlight w:val="none"/>
              </w:rPr>
              <w:t>。</w:t>
            </w:r>
          </w:p>
          <w:p>
            <w:pPr>
              <w:spacing w:line="276" w:lineRule="auto"/>
              <w:jc w:val="left"/>
            </w:pPr>
          </w:p>
          <w:p>
            <w:pPr>
              <w:spacing w:line="276" w:lineRule="auto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（三）萤石行业：供给受限，需求多点高增</w:t>
            </w:r>
          </w:p>
          <w:p>
            <w:pPr>
              <w:spacing w:line="276" w:lineRule="auto"/>
              <w:jc w:val="left"/>
            </w:pPr>
            <w:r>
              <w:rPr>
                <w:rFonts w:hint="eastAsia"/>
              </w:rPr>
              <w:t>萤石被中、美、欧盟列为关键战略性矿产，是氟化工核心上游来源，行业供需格局支撑长期发展，价格中枢有望稳步上行。</w:t>
            </w:r>
          </w:p>
          <w:p>
            <w:pPr>
              <w:spacing w:line="276" w:lineRule="auto"/>
              <w:jc w:val="left"/>
            </w:pPr>
            <w:r>
              <w:rPr>
                <w:rFonts w:hint="eastAsia"/>
                <w:b/>
                <w:bCs/>
              </w:rPr>
              <w:t>1. 供给端：</w:t>
            </w:r>
            <w:r>
              <w:rPr>
                <w:rFonts w:hint="eastAsia"/>
              </w:rPr>
              <w:t>全球60%产能集中在中国，我国以27%储量贡献63%产量，储采比失衡；国内政策趋严，小矿出清加速，行业呈“富矿少、贫矿多、小矿多”格局，近年产量停滞甚至负增长；海外墨西哥、蒙古等矿品位低、运距远，难以缓解国内供给缺口。</w:t>
            </w:r>
          </w:p>
          <w:p>
            <w:pPr>
              <w:spacing w:line="276" w:lineRule="auto"/>
              <w:jc w:val="left"/>
            </w:pPr>
            <w:r>
              <w:rPr>
                <w:rFonts w:hint="eastAsia"/>
                <w:b/>
                <w:bCs/>
              </w:rPr>
              <w:t>2. 需求端：</w:t>
            </w:r>
            <w:r>
              <w:rPr>
                <w:rFonts w:hint="eastAsia"/>
              </w:rPr>
              <w:t>多元化高增长，核心驱动包括：制冷剂迭代（二代向三四代升级，含氟量提升）；新能源</w:t>
            </w:r>
            <w:r>
              <w:rPr>
                <w:rFonts w:hint="default"/>
                <w:woUserID w:val="1"/>
              </w:rPr>
              <w:t>需求</w:t>
            </w:r>
            <w:r>
              <w:rPr>
                <w:rFonts w:hint="eastAsia"/>
              </w:rPr>
              <w:t>爆发</w:t>
            </w:r>
            <w:r>
              <w:rPr>
                <w:rFonts w:hint="default"/>
                <w:woUserID w:val="1"/>
              </w:rPr>
              <w:t>式增长</w:t>
            </w:r>
            <w:r>
              <w:rPr>
                <w:rFonts w:hint="eastAsia"/>
              </w:rPr>
              <w:t>（锂电、光伏带动六氟磷酸锂、PVDF需求，机构测算2030年相关产业带动萤石需求年复合增17%）；AI液冷</w:t>
            </w:r>
            <w:r>
              <w:rPr>
                <w:rFonts w:hint="default"/>
                <w:woUserID w:val="1"/>
              </w:rPr>
              <w:t>需求</w:t>
            </w:r>
            <w:r>
              <w:rPr>
                <w:rFonts w:hint="eastAsia"/>
              </w:rPr>
              <w:t>（算力中心液冷服务器拉动氟系制冷剂需求）；高端制造</w:t>
            </w:r>
            <w:r>
              <w:rPr>
                <w:rFonts w:hint="default"/>
                <w:woUserID w:val="1"/>
              </w:rPr>
              <w:t>需求</w:t>
            </w:r>
            <w:r>
              <w:rPr>
                <w:rFonts w:hint="eastAsia"/>
              </w:rPr>
              <w:t>（5G、航空航天、医疗对含氟聚合物需求激增）。</w:t>
            </w:r>
          </w:p>
          <w:p>
            <w:pPr>
              <w:spacing w:line="276" w:lineRule="auto"/>
              <w:jc w:val="left"/>
            </w:pPr>
          </w:p>
          <w:p>
            <w:pPr>
              <w:spacing w:line="276" w:lineRule="auto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（四）</w:t>
            </w:r>
            <w:r>
              <w:rPr>
                <w:rFonts w:hint="default"/>
                <w:b/>
                <w:bCs/>
                <w:woUserID w:val="1"/>
              </w:rPr>
              <w:t>本次</w:t>
            </w:r>
            <w:r>
              <w:rPr>
                <w:rFonts w:hint="eastAsia"/>
                <w:b/>
                <w:bCs/>
              </w:rPr>
              <w:t>交易战略意义与协同效应</w:t>
            </w:r>
          </w:p>
          <w:p>
            <w:pPr>
              <w:spacing w:line="276" w:lineRule="auto"/>
              <w:jc w:val="left"/>
            </w:pPr>
            <w:r>
              <w:rPr>
                <w:rFonts w:hint="eastAsia"/>
              </w:rPr>
              <w:t>本次收购是海南矿业“聚焦战略性资源”的重要布局，与现有业务形成强协同，兼具短期业绩增厚与长期战略价值：</w:t>
            </w:r>
          </w:p>
          <w:p>
            <w:pPr>
              <w:spacing w:line="276" w:lineRule="auto"/>
              <w:jc w:val="left"/>
            </w:pPr>
            <w:r>
              <w:rPr>
                <w:rFonts w:hint="eastAsia"/>
                <w:b/>
                <w:bCs/>
              </w:rPr>
              <w:t>1. 完善资源版图，对冲周期波动：</w:t>
            </w:r>
            <w:r>
              <w:rPr>
                <w:rFonts w:hint="eastAsia"/>
              </w:rPr>
              <w:t>公司原有布局为铁、锂（战略性金属矿产）及油气（战略性能源矿产），本次切入萤石（战略性非金属矿产），萤石价格周期与传统大宗商品形成互补，优化资产组合，提升盈利稳定性。</w:t>
            </w:r>
          </w:p>
          <w:p>
            <w:pPr>
              <w:spacing w:line="276" w:lineRule="auto"/>
              <w:jc w:val="left"/>
            </w:pPr>
            <w:r>
              <w:rPr>
                <w:rFonts w:hint="eastAsia"/>
                <w:b/>
                <w:bCs/>
              </w:rPr>
              <w:t>2. 确立行业地位，掌控上游资源：</w:t>
            </w:r>
            <w:r>
              <w:rPr>
                <w:rFonts w:hint="eastAsia"/>
              </w:rPr>
              <w:t>通过控股国内头部萤石矿，一举成为氟化工上游龙头之一，掌握稀缺高品位萤石资源，为后续行业资源整合与规模扩张奠定基础。</w:t>
            </w:r>
          </w:p>
          <w:p>
            <w:pPr>
              <w:spacing w:line="276" w:lineRule="auto"/>
              <w:jc w:val="left"/>
            </w:pPr>
            <w:r>
              <w:rPr>
                <w:rFonts w:hint="eastAsia"/>
                <w:b/>
                <w:bCs/>
              </w:rPr>
              <w:t>3. 短期增厚业绩，长期增长可期：</w:t>
            </w:r>
            <w:r>
              <w:rPr>
                <w:rFonts w:hint="eastAsia"/>
              </w:rPr>
              <w:t>标的为在产盈利项目，交易完成后将按85.69%持股比例直接增厚上市公司归母净利润；长期可依托丰瑞氟业平台，整合周边萤石资源，扩大产能与资源储备。</w:t>
            </w: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二、交流的主要问题与回复：</w:t>
            </w:r>
          </w:p>
          <w:p>
            <w:pPr>
              <w:pStyle w:val="14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此次交易标的资产的金额预计是多少？后续配套募资如何定价及如何参与？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关于此次交易金额，目前双方仍处于框架协议阶段，具体交易价格需待审计评估完成后，以评估值为基准协商确定，预计将于今年四月份经董事会审议后披露。此前2025年8月公司曾以3亿元参股，取得15.79%股权，对应投后估值约19亿元。</w:t>
            </w:r>
            <w:r>
              <w:rPr>
                <w:rFonts w:ascii="宋体" w:hAnsi="宋体" w:cs="宋体"/>
              </w:rPr>
              <w:br w:type="textWrapping"/>
            </w:r>
            <w:r>
              <w:rPr>
                <w:rFonts w:ascii="宋体" w:hAnsi="宋体" w:cs="宋体"/>
                <w:woUserID w:val="1"/>
              </w:rPr>
              <w:t xml:space="preserve">    </w:t>
            </w:r>
            <w:r>
              <w:rPr>
                <w:rFonts w:ascii="宋体" w:hAnsi="宋体" w:cs="宋体"/>
              </w:rPr>
              <w:t>后续</w:t>
            </w:r>
            <w:r>
              <w:rPr>
                <w:rFonts w:ascii="宋体" w:hAnsi="宋体" w:cs="宋体"/>
                <w:woUserID w:val="1"/>
              </w:rPr>
              <w:t>向不超过</w:t>
            </w:r>
            <w:r>
              <w:rPr>
                <w:rFonts w:ascii="宋体" w:hAnsi="宋体" w:cs="宋体"/>
              </w:rPr>
              <w:t>35名特定投资者参与的</w:t>
            </w:r>
            <w:r>
              <w:rPr>
                <w:rFonts w:ascii="宋体" w:hAnsi="宋体" w:cs="宋体"/>
                <w:woUserID w:val="1"/>
              </w:rPr>
              <w:t>配套募资</w:t>
            </w:r>
            <w:r>
              <w:rPr>
                <w:rFonts w:ascii="宋体" w:hAnsi="宋体" w:cs="宋体"/>
              </w:rPr>
              <w:t>，需在公司获得批文后进行询价</w:t>
            </w:r>
            <w:r>
              <w:rPr>
                <w:rFonts w:ascii="宋体" w:hAnsi="宋体" w:cs="宋体"/>
                <w:woUserID w:val="1"/>
              </w:rPr>
              <w:t>发行，按照不低于届时的定价基准日前20个交易日均价的8折来定价。符合条件且</w:t>
            </w:r>
            <w:r>
              <w:rPr>
                <w:rFonts w:ascii="宋体" w:hAnsi="宋体" w:cs="宋体"/>
              </w:rPr>
              <w:t>有意向</w:t>
            </w:r>
            <w:r>
              <w:rPr>
                <w:rFonts w:ascii="宋体" w:hAnsi="宋体" w:cs="宋体"/>
                <w:woUserID w:val="1"/>
              </w:rPr>
              <w:t>的</w:t>
            </w:r>
            <w:r>
              <w:rPr>
                <w:rFonts w:ascii="宋体" w:hAnsi="宋体" w:cs="宋体"/>
              </w:rPr>
              <w:t>投资者可</w:t>
            </w:r>
            <w:r>
              <w:rPr>
                <w:rFonts w:ascii="宋体" w:hAnsi="宋体" w:cs="宋体"/>
                <w:woUserID w:val="1"/>
              </w:rPr>
              <w:t>参与</w:t>
            </w:r>
            <w:r>
              <w:rPr>
                <w:rFonts w:ascii="宋体" w:hAnsi="宋体" w:cs="宋体"/>
              </w:rPr>
              <w:t>报价，最终将按报价从高到低选取</w:t>
            </w:r>
            <w:r>
              <w:rPr>
                <w:rFonts w:ascii="宋体" w:hAnsi="宋体" w:cs="宋体"/>
                <w:woUserID w:val="1"/>
              </w:rPr>
              <w:t>。</w:t>
            </w:r>
            <w:r>
              <w:rPr>
                <w:rFonts w:ascii="宋体" w:hAnsi="宋体" w:cs="宋体"/>
              </w:rPr>
              <w:t>公司后续将在完成</w:t>
            </w:r>
            <w:r>
              <w:rPr>
                <w:rFonts w:ascii="宋体" w:hAnsi="宋体" w:cs="宋体"/>
                <w:woUserID w:val="1"/>
              </w:rPr>
              <w:t>本次交易审核注册</w:t>
            </w:r>
            <w:r>
              <w:rPr>
                <w:rFonts w:ascii="宋体" w:hAnsi="宋体" w:cs="宋体"/>
              </w:rPr>
              <w:t>程序后发布配套募资相关流程。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80" w:lineRule="exact"/>
              <w:jc w:val="center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60" w:lineRule="auto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80" w:lineRule="exact"/>
              <w:jc w:val="center"/>
              <w:rPr>
                <w:rFonts w:hint="eastAsia" w:ascii="宋体" w:hAnsi="宋体"/>
                <w:bCs/>
                <w:iCs/>
                <w:sz w:val="24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t>填报日期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 w:line="360" w:lineRule="auto"/>
              <w:rPr>
                <w:rFonts w:hint="eastAsia" w:ascii="宋体" w:hAnsi="宋体"/>
                <w:bCs/>
                <w:iCs/>
                <w:sz w:val="24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t>20</w:t>
            </w:r>
            <w:r>
              <w:rPr>
                <w:rFonts w:ascii="宋体" w:hAnsi="宋体"/>
                <w:bCs/>
                <w:iCs/>
                <w:sz w:val="24"/>
              </w:rPr>
              <w:t>2</w:t>
            </w:r>
            <w:r>
              <w:rPr>
                <w:rFonts w:hint="eastAsia" w:ascii="宋体" w:hAnsi="宋体"/>
                <w:bCs/>
                <w:iCs/>
                <w:sz w:val="24"/>
              </w:rPr>
              <w:t>6年2月11日</w:t>
            </w:r>
          </w:p>
        </w:tc>
      </w:tr>
    </w:tbl>
    <w:p>
      <w:pPr>
        <w:rPr>
          <w:rFonts w:hint="eastAsia" w:asciiTheme="majorEastAsia" w:hAnsiTheme="majorEastAsia" w:eastAsiaTheme="majorEastAsia"/>
          <w:sz w:val="24"/>
        </w:rPr>
      </w:pPr>
    </w:p>
    <w:sectPr>
      <w:headerReference r:id="rId5" w:type="default"/>
      <w:pgSz w:w="11906" w:h="16838"/>
      <w:pgMar w:top="1304" w:right="1797" w:bottom="1304" w:left="1797" w:header="28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altName w:val="汉仪书宋二KW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jc w:val="both"/>
    </w:pPr>
    <w:r>
      <w:rPr>
        <w:rFonts w:hint="eastAsia"/>
      </w:rPr>
      <w:t xml:space="preserve">  </w:t>
    </w:r>
  </w:p>
  <w:p>
    <w:pPr>
      <w:pStyle w:val="5"/>
      <w:pBdr>
        <w:bottom w:val="single" w:color="auto" w:sz="4" w:space="1"/>
      </w:pBdr>
      <w:jc w:val="both"/>
    </w:pPr>
  </w:p>
  <w:p>
    <w:pPr>
      <w:pStyle w:val="5"/>
      <w:pBdr>
        <w:bottom w:val="single" w:color="auto" w:sz="4" w:space="1"/>
      </w:pBdr>
      <w:jc w:val="both"/>
    </w:pPr>
  </w:p>
  <w:p>
    <w:pPr>
      <w:pStyle w:val="5"/>
      <w:pBdr>
        <w:bottom w:val="single" w:color="auto" w:sz="4" w:space="1"/>
      </w:pBdr>
      <w:jc w:val="left"/>
    </w:pPr>
  </w:p>
  <w:p>
    <w:pPr>
      <w:pStyle w:val="5"/>
      <w:pBdr>
        <w:bottom w:val="single" w:color="auto" w:sz="4" w:space="1"/>
      </w:pBdr>
      <w:jc w:val="left"/>
      <w:rPr>
        <w:sz w:val="21"/>
        <w:szCs w:val="21"/>
      </w:rPr>
    </w:pPr>
    <w:r>
      <w:rPr>
        <w:rFonts w:hint="eastAsia"/>
        <w:sz w:val="21"/>
        <w:szCs w:val="21"/>
      </w:rPr>
      <w:t>证券代码：60</w:t>
    </w:r>
    <w:r>
      <w:rPr>
        <w:sz w:val="21"/>
        <w:szCs w:val="21"/>
      </w:rPr>
      <w:t>1969</w:t>
    </w:r>
    <w:r>
      <w:rPr>
        <w:rFonts w:hint="eastAsia"/>
        <w:sz w:val="21"/>
        <w:szCs w:val="21"/>
      </w:rPr>
      <w:t xml:space="preserve">     </w:t>
    </w:r>
    <w:r>
      <w:rPr>
        <w:sz w:val="21"/>
        <w:szCs w:val="21"/>
      </w:rPr>
      <w:t xml:space="preserve">                                      </w:t>
    </w:r>
    <w:r>
      <w:rPr>
        <w:rFonts w:hint="eastAsia"/>
        <w:sz w:val="21"/>
        <w:szCs w:val="21"/>
      </w:rPr>
      <w:t xml:space="preserve"> 证券简称：海南矿业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683BDC"/>
    <w:multiLevelType w:val="multilevel"/>
    <w:tmpl w:val="16683BD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1F"/>
    <w:rsid w:val="00155C61"/>
    <w:rsid w:val="00414CFB"/>
    <w:rsid w:val="006B7634"/>
    <w:rsid w:val="00714079"/>
    <w:rsid w:val="0073631D"/>
    <w:rsid w:val="00756669"/>
    <w:rsid w:val="0099221F"/>
    <w:rsid w:val="00B67F83"/>
    <w:rsid w:val="3E7F4A94"/>
    <w:rsid w:val="7DFD63E1"/>
    <w:rsid w:val="7EFF9506"/>
    <w:rsid w:val="7FFF1159"/>
    <w:rsid w:val="7F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99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qFormat/>
    <w:uiPriority w:val="0"/>
    <w:rPr>
      <w:b/>
      <w:bCs/>
    </w:rPr>
  </w:style>
  <w:style w:type="character" w:styleId="9">
    <w:name w:val="Emphasis"/>
    <w:basedOn w:val="8"/>
    <w:qFormat/>
    <w:uiPriority w:val="20"/>
    <w:rPr>
      <w:color w:val="CC0000"/>
    </w:rPr>
  </w:style>
  <w:style w:type="character" w:styleId="10">
    <w:name w:val="Hyperlink"/>
    <w:basedOn w:val="8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qFormat/>
    <w:uiPriority w:val="99"/>
    <w:rPr>
      <w:sz w:val="21"/>
      <w:szCs w:val="21"/>
    </w:rPr>
  </w:style>
  <w:style w:type="character" w:customStyle="1" w:styleId="12">
    <w:name w:val="页眉 字符"/>
    <w:basedOn w:val="8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新宋体" w:hAnsi="Times New Roman" w:eastAsia="新宋体" w:cs="新宋体"/>
      <w:color w:val="000000"/>
      <w:sz w:val="24"/>
      <w:szCs w:val="24"/>
      <w:lang w:val="en-US" w:eastAsia="zh-CN" w:bidi="ar-SA"/>
    </w:rPr>
  </w:style>
  <w:style w:type="character" w:customStyle="1" w:styleId="16">
    <w:name w:val="批注文字 字符"/>
    <w:basedOn w:val="8"/>
    <w:link w:val="2"/>
    <w:qFormat/>
    <w:uiPriority w:val="99"/>
    <w:rPr>
      <w:kern w:val="2"/>
      <w:sz w:val="21"/>
      <w:szCs w:val="24"/>
    </w:rPr>
  </w:style>
  <w:style w:type="character" w:customStyle="1" w:styleId="17">
    <w:name w:val="批注主题 字符"/>
    <w:basedOn w:val="16"/>
    <w:link w:val="6"/>
    <w:qFormat/>
    <w:uiPriority w:val="0"/>
    <w:rPr>
      <w:b/>
      <w:bCs/>
      <w:kern w:val="2"/>
      <w:sz w:val="21"/>
      <w:szCs w:val="24"/>
    </w:rPr>
  </w:style>
  <w:style w:type="paragraph" w:customStyle="1" w:styleId="18">
    <w:name w:val="修订1"/>
    <w:hidden/>
    <w:semiHidden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修订2"/>
    <w:hidden/>
    <w:semiHidden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修订3"/>
    <w:hidden/>
    <w:semiHidden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修订4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修订5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修订6"/>
    <w:hidden/>
    <w:unhideWhenUsed/>
    <w:qFormat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修订7"/>
    <w:hidden/>
    <w:unhideWhenUsed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未处理的提及1"/>
    <w:basedOn w:val="8"/>
    <w:unhideWhenUsed/>
    <w:uiPriority w:val="99"/>
    <w:rPr>
      <w:color w:val="605E5C"/>
      <w:shd w:val="clear" w:color="auto" w:fill="E1DFDD"/>
    </w:rPr>
  </w:style>
  <w:style w:type="paragraph" w:customStyle="1" w:styleId="26">
    <w:name w:val="修订8"/>
    <w:hidden/>
    <w:unhideWhenUsed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修订9"/>
    <w:hidden/>
    <w:unhideWhenUsed/>
    <w:uiPriority w:val="99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cee</Company>
  <Pages>4</Pages>
  <Words>393</Words>
  <Characters>2244</Characters>
  <Lines>18</Lines>
  <Paragraphs>5</Paragraphs>
  <TotalTime>0</TotalTime>
  <ScaleCrop>false</ScaleCrop>
  <LinksUpToDate>false</LinksUpToDate>
  <CharactersWithSpaces>2632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2026-02-11T17:37:00Z</dcterms:created>
  <dc:creator>cee</dc:creator>
  <cp:lastModifiedBy>Fengyuan Yang</cp:lastModifiedBy>
  <cp:lastPrinted>2022-06-14T13:50:00Z</cp:lastPrinted>
  <dcterms:modified xsi:type="dcterms:W3CDTF">2026-02-11T15:02:37Z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C6DCD4B182604A5D9CD6FAE594DFC1BC_12</vt:lpwstr>
  </property>
</Properties>
</file>