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CCCA3">
      <w:pPr>
        <w:spacing w:line="360" w:lineRule="auto"/>
        <w:rPr>
          <w:b/>
          <w:color w:val="auto"/>
          <w:sz w:val="24"/>
        </w:rPr>
      </w:pPr>
      <w:r>
        <w:rPr>
          <w:b/>
          <w:color w:val="auto"/>
          <w:sz w:val="24"/>
        </w:rPr>
        <w:t xml:space="preserve">证券代码：603325                                </w:t>
      </w:r>
      <w:bookmarkStart w:id="8" w:name="_GoBack"/>
      <w:bookmarkEnd w:id="8"/>
      <w:r>
        <w:rPr>
          <w:b/>
          <w:color w:val="auto"/>
          <w:sz w:val="24"/>
        </w:rPr>
        <w:t xml:space="preserve">   证券简称：博隆技术</w:t>
      </w:r>
    </w:p>
    <w:p w14:paraId="65936D9E">
      <w:pPr>
        <w:spacing w:line="360" w:lineRule="auto"/>
        <w:rPr>
          <w:b/>
          <w:color w:val="auto"/>
          <w:sz w:val="24"/>
        </w:rPr>
      </w:pPr>
    </w:p>
    <w:p w14:paraId="63E12F85">
      <w:pPr>
        <w:spacing w:line="360" w:lineRule="auto"/>
        <w:jc w:val="center"/>
        <w:rPr>
          <w:rFonts w:eastAsia="黑体"/>
          <w:b/>
          <w:color w:val="auto"/>
          <w:sz w:val="36"/>
          <w:szCs w:val="36"/>
        </w:rPr>
      </w:pPr>
      <w:bookmarkStart w:id="0" w:name="_Hlk156423753"/>
      <w:r>
        <w:rPr>
          <w:rFonts w:eastAsia="黑体"/>
          <w:b/>
          <w:color w:val="auto"/>
          <w:sz w:val="36"/>
          <w:szCs w:val="36"/>
        </w:rPr>
        <w:t>上海博隆装备技术股份有限公司</w:t>
      </w:r>
      <w:bookmarkEnd w:id="0"/>
      <w:bookmarkStart w:id="1" w:name="_Hlk156426301"/>
    </w:p>
    <w:p w14:paraId="50E8FB73">
      <w:pPr>
        <w:spacing w:line="360" w:lineRule="auto"/>
        <w:jc w:val="center"/>
        <w:rPr>
          <w:rFonts w:eastAsia="黑体"/>
          <w:b/>
          <w:color w:val="auto"/>
          <w:sz w:val="36"/>
          <w:szCs w:val="36"/>
        </w:rPr>
      </w:pPr>
      <w:r>
        <w:rPr>
          <w:rFonts w:eastAsia="黑体"/>
          <w:b/>
          <w:color w:val="auto"/>
          <w:sz w:val="36"/>
          <w:szCs w:val="36"/>
        </w:rPr>
        <w:t>投资者关系活动记录表</w:t>
      </w:r>
    </w:p>
    <w:bookmarkEnd w:id="1"/>
    <w:p w14:paraId="15034777">
      <w:pPr>
        <w:pStyle w:val="2"/>
        <w:snapToGrid w:val="0"/>
        <w:spacing w:line="360" w:lineRule="auto"/>
        <w:jc w:val="right"/>
        <w:rPr>
          <w:rFonts w:eastAsia="宋体"/>
          <w:color w:val="auto"/>
          <w:sz w:val="21"/>
          <w:szCs w:val="21"/>
        </w:rPr>
      </w:pPr>
      <w:r>
        <w:rPr>
          <w:rFonts w:eastAsia="宋体"/>
          <w:color w:val="auto"/>
          <w:sz w:val="21"/>
          <w:szCs w:val="21"/>
        </w:rPr>
        <w:t>编号：202</w:t>
      </w:r>
      <w:r>
        <w:rPr>
          <w:rFonts w:hint="eastAsia" w:eastAsia="宋体"/>
          <w:color w:val="auto"/>
          <w:sz w:val="21"/>
          <w:szCs w:val="21"/>
        </w:rPr>
        <w:t>6</w:t>
      </w:r>
      <w:r>
        <w:rPr>
          <w:rFonts w:eastAsia="宋体"/>
          <w:color w:val="auto"/>
          <w:sz w:val="21"/>
          <w:szCs w:val="21"/>
        </w:rPr>
        <w:t>-00</w:t>
      </w:r>
      <w:r>
        <w:rPr>
          <w:rFonts w:hint="eastAsia" w:eastAsia="宋体"/>
          <w:color w:val="auto"/>
          <w:sz w:val="21"/>
          <w:szCs w:val="21"/>
        </w:rPr>
        <w:t>2</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6986"/>
      </w:tblGrid>
      <w:tr w14:paraId="38587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9D96E28">
            <w:pPr>
              <w:widowControl/>
              <w:adjustRightInd w:val="0"/>
              <w:snapToGrid w:val="0"/>
              <w:jc w:val="center"/>
              <w:rPr>
                <w:b/>
                <w:color w:val="auto"/>
                <w:kern w:val="0"/>
                <w:szCs w:val="21"/>
              </w:rPr>
            </w:pPr>
            <w:r>
              <w:rPr>
                <w:b/>
                <w:color w:val="auto"/>
                <w:kern w:val="0"/>
                <w:szCs w:val="21"/>
              </w:rPr>
              <w:t>投资者关系</w:t>
            </w:r>
          </w:p>
          <w:p w14:paraId="6563CAC6">
            <w:pPr>
              <w:widowControl/>
              <w:adjustRightInd w:val="0"/>
              <w:snapToGrid w:val="0"/>
              <w:jc w:val="center"/>
              <w:rPr>
                <w:b/>
                <w:color w:val="auto"/>
                <w:kern w:val="0"/>
                <w:szCs w:val="21"/>
              </w:rPr>
            </w:pPr>
            <w:r>
              <w:rPr>
                <w:b/>
                <w:color w:val="auto"/>
                <w:kern w:val="0"/>
                <w:szCs w:val="21"/>
              </w:rPr>
              <w:t>活动类型</w:t>
            </w:r>
          </w:p>
        </w:tc>
        <w:tc>
          <w:tcPr>
            <w:tcW w:w="4005" w:type="pct"/>
            <w:vAlign w:val="center"/>
          </w:tcPr>
          <w:p w14:paraId="4066EA64">
            <w:pPr>
              <w:widowControl/>
              <w:adjustRightInd w:val="0"/>
              <w:snapToGrid w:val="0"/>
              <w:rPr>
                <w:rFonts w:ascii="宋体" w:hAnsi="宋体"/>
                <w:color w:val="auto"/>
                <w:kern w:val="0"/>
                <w:szCs w:val="21"/>
              </w:rPr>
            </w:pPr>
            <w:bookmarkStart w:id="2" w:name="OLE_LINK2"/>
            <w:bookmarkStart w:id="3" w:name="OLE_LINK1"/>
            <w:r>
              <w:rPr>
                <w:rFonts w:ascii="宋体" w:hAnsi="宋体"/>
                <w:color w:val="auto"/>
                <w:kern w:val="0"/>
                <w:szCs w:val="21"/>
              </w:rPr>
              <w:t>√</w:t>
            </w:r>
            <w:bookmarkEnd w:id="2"/>
            <w:bookmarkEnd w:id="3"/>
            <w:r>
              <w:rPr>
                <w:rFonts w:ascii="宋体" w:hAnsi="宋体"/>
                <w:color w:val="auto"/>
                <w:kern w:val="0"/>
                <w:szCs w:val="21"/>
              </w:rPr>
              <w:t>特定对象调研    □分析师会议   □媒体采访   □业绩说明会</w:t>
            </w:r>
          </w:p>
          <w:p w14:paraId="473ADDB6">
            <w:pPr>
              <w:widowControl/>
              <w:adjustRightInd w:val="0"/>
              <w:snapToGrid w:val="0"/>
              <w:rPr>
                <w:color w:val="auto"/>
                <w:kern w:val="0"/>
                <w:szCs w:val="21"/>
              </w:rPr>
            </w:pPr>
            <w:r>
              <w:rPr>
                <w:rFonts w:ascii="宋体" w:hAnsi="宋体"/>
                <w:color w:val="auto"/>
                <w:kern w:val="0"/>
                <w:szCs w:val="21"/>
              </w:rPr>
              <w:t>□新闻发布会      □现场参观     □路演活动   □其他</w:t>
            </w:r>
          </w:p>
        </w:tc>
      </w:tr>
      <w:tr w14:paraId="168B9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40FA18C">
            <w:pPr>
              <w:widowControl/>
              <w:adjustRightInd w:val="0"/>
              <w:snapToGrid w:val="0"/>
              <w:jc w:val="center"/>
              <w:rPr>
                <w:b/>
                <w:color w:val="auto"/>
                <w:kern w:val="0"/>
                <w:szCs w:val="21"/>
              </w:rPr>
            </w:pPr>
            <w:r>
              <w:rPr>
                <w:b/>
                <w:color w:val="auto"/>
                <w:kern w:val="0"/>
                <w:szCs w:val="21"/>
              </w:rPr>
              <w:t>时间</w:t>
            </w:r>
          </w:p>
        </w:tc>
        <w:tc>
          <w:tcPr>
            <w:tcW w:w="4005" w:type="pct"/>
            <w:vAlign w:val="center"/>
          </w:tcPr>
          <w:p w14:paraId="4B5EFFE4">
            <w:pPr>
              <w:widowControl/>
              <w:adjustRightInd w:val="0"/>
              <w:snapToGrid w:val="0"/>
              <w:rPr>
                <w:color w:val="auto"/>
                <w:kern w:val="0"/>
                <w:szCs w:val="21"/>
              </w:rPr>
            </w:pPr>
            <w:r>
              <w:rPr>
                <w:color w:val="auto"/>
                <w:kern w:val="0"/>
                <w:szCs w:val="21"/>
              </w:rPr>
              <w:t>2026年</w:t>
            </w:r>
            <w:r>
              <w:rPr>
                <w:rFonts w:hint="eastAsia"/>
                <w:color w:val="auto"/>
                <w:kern w:val="0"/>
                <w:szCs w:val="21"/>
              </w:rPr>
              <w:t>2</w:t>
            </w:r>
            <w:r>
              <w:rPr>
                <w:color w:val="auto"/>
                <w:kern w:val="0"/>
                <w:szCs w:val="21"/>
              </w:rPr>
              <w:t>月</w:t>
            </w:r>
            <w:r>
              <w:rPr>
                <w:rFonts w:hint="eastAsia"/>
                <w:color w:val="auto"/>
                <w:kern w:val="0"/>
                <w:szCs w:val="21"/>
              </w:rPr>
              <w:t>2</w:t>
            </w:r>
            <w:r>
              <w:rPr>
                <w:color w:val="auto"/>
                <w:kern w:val="0"/>
                <w:szCs w:val="21"/>
              </w:rPr>
              <w:t>日</w:t>
            </w:r>
          </w:p>
        </w:tc>
      </w:tr>
      <w:tr w14:paraId="7F468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05814140">
            <w:pPr>
              <w:widowControl/>
              <w:adjustRightInd w:val="0"/>
              <w:snapToGrid w:val="0"/>
              <w:jc w:val="center"/>
              <w:rPr>
                <w:b/>
                <w:color w:val="auto"/>
                <w:kern w:val="0"/>
                <w:szCs w:val="21"/>
              </w:rPr>
            </w:pPr>
            <w:r>
              <w:rPr>
                <w:b/>
                <w:color w:val="auto"/>
                <w:kern w:val="0"/>
                <w:szCs w:val="21"/>
              </w:rPr>
              <w:t>地点/形式</w:t>
            </w:r>
          </w:p>
        </w:tc>
        <w:tc>
          <w:tcPr>
            <w:tcW w:w="4005" w:type="pct"/>
            <w:vAlign w:val="center"/>
          </w:tcPr>
          <w:p w14:paraId="4AB0E4CE">
            <w:pPr>
              <w:widowControl/>
              <w:adjustRightInd w:val="0"/>
              <w:snapToGrid w:val="0"/>
              <w:rPr>
                <w:color w:val="auto"/>
                <w:kern w:val="0"/>
                <w:szCs w:val="21"/>
              </w:rPr>
            </w:pPr>
            <w:r>
              <w:rPr>
                <w:color w:val="auto"/>
                <w:kern w:val="0"/>
                <w:szCs w:val="21"/>
              </w:rPr>
              <w:t>网络会议</w:t>
            </w:r>
          </w:p>
        </w:tc>
      </w:tr>
      <w:tr w14:paraId="09C24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4EDAAE2D">
            <w:pPr>
              <w:widowControl/>
              <w:adjustRightInd w:val="0"/>
              <w:snapToGrid w:val="0"/>
              <w:jc w:val="center"/>
              <w:rPr>
                <w:color w:val="auto"/>
                <w:kern w:val="0"/>
                <w:szCs w:val="21"/>
              </w:rPr>
            </w:pPr>
            <w:r>
              <w:rPr>
                <w:b/>
                <w:color w:val="auto"/>
                <w:kern w:val="0"/>
                <w:szCs w:val="21"/>
              </w:rPr>
              <w:t>参与单位名称</w:t>
            </w:r>
          </w:p>
        </w:tc>
        <w:tc>
          <w:tcPr>
            <w:tcW w:w="4005" w:type="pct"/>
            <w:vAlign w:val="center"/>
          </w:tcPr>
          <w:p w14:paraId="2C3CB6E6">
            <w:pPr>
              <w:rPr>
                <w:color w:val="auto"/>
                <w:szCs w:val="21"/>
              </w:rPr>
            </w:pPr>
            <w:r>
              <w:rPr>
                <w:color w:val="auto"/>
              </w:rPr>
              <w:t>光大证券</w:t>
            </w:r>
            <w:r>
              <w:rPr>
                <w:rFonts w:hint="eastAsia"/>
                <w:color w:val="auto"/>
              </w:rPr>
              <w:t>、新华资管</w:t>
            </w:r>
          </w:p>
        </w:tc>
      </w:tr>
      <w:tr w14:paraId="1B20F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7CB3B6A0">
            <w:pPr>
              <w:widowControl/>
              <w:adjustRightInd w:val="0"/>
              <w:snapToGrid w:val="0"/>
              <w:jc w:val="center"/>
              <w:rPr>
                <w:b/>
                <w:color w:val="auto"/>
                <w:kern w:val="0"/>
                <w:szCs w:val="21"/>
              </w:rPr>
            </w:pPr>
            <w:r>
              <w:rPr>
                <w:b/>
                <w:color w:val="auto"/>
                <w:kern w:val="0"/>
                <w:szCs w:val="21"/>
              </w:rPr>
              <w:t>上市公司</w:t>
            </w:r>
          </w:p>
          <w:p w14:paraId="157223CB">
            <w:pPr>
              <w:widowControl/>
              <w:adjustRightInd w:val="0"/>
              <w:snapToGrid w:val="0"/>
              <w:jc w:val="center"/>
              <w:rPr>
                <w:color w:val="auto"/>
                <w:kern w:val="0"/>
                <w:szCs w:val="21"/>
              </w:rPr>
            </w:pPr>
            <w:r>
              <w:rPr>
                <w:b/>
                <w:color w:val="auto"/>
                <w:kern w:val="0"/>
                <w:szCs w:val="21"/>
              </w:rPr>
              <w:t>接待人员</w:t>
            </w:r>
          </w:p>
        </w:tc>
        <w:tc>
          <w:tcPr>
            <w:tcW w:w="4005" w:type="pct"/>
            <w:vAlign w:val="center"/>
          </w:tcPr>
          <w:p w14:paraId="56D3EC66">
            <w:pPr>
              <w:widowControl/>
              <w:adjustRightInd w:val="0"/>
              <w:snapToGrid w:val="0"/>
              <w:rPr>
                <w:color w:val="auto"/>
                <w:kern w:val="0"/>
                <w:szCs w:val="21"/>
              </w:rPr>
            </w:pPr>
            <w:r>
              <w:rPr>
                <w:color w:val="auto"/>
                <w:kern w:val="0"/>
                <w:szCs w:val="21"/>
              </w:rPr>
              <w:t>董事会秘书安一唱</w:t>
            </w:r>
          </w:p>
        </w:tc>
      </w:tr>
      <w:tr w14:paraId="0FC94F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95" w:type="pct"/>
            <w:noWrap/>
            <w:vAlign w:val="center"/>
          </w:tcPr>
          <w:p w14:paraId="5A414443">
            <w:pPr>
              <w:widowControl/>
              <w:adjustRightInd w:val="0"/>
              <w:snapToGrid w:val="0"/>
              <w:jc w:val="center"/>
              <w:rPr>
                <w:b/>
                <w:color w:val="auto"/>
                <w:kern w:val="0"/>
                <w:szCs w:val="21"/>
              </w:rPr>
            </w:pPr>
            <w:r>
              <w:rPr>
                <w:b/>
                <w:color w:val="auto"/>
                <w:kern w:val="0"/>
                <w:szCs w:val="21"/>
              </w:rPr>
              <w:t>投资者关系活动</w:t>
            </w:r>
          </w:p>
          <w:p w14:paraId="14E4AEBC">
            <w:pPr>
              <w:adjustRightInd w:val="0"/>
              <w:snapToGrid w:val="0"/>
              <w:jc w:val="center"/>
              <w:rPr>
                <w:color w:val="auto"/>
                <w:kern w:val="0"/>
                <w:szCs w:val="21"/>
              </w:rPr>
            </w:pPr>
            <w:r>
              <w:rPr>
                <w:b/>
                <w:color w:val="auto"/>
                <w:kern w:val="0"/>
                <w:szCs w:val="21"/>
              </w:rPr>
              <w:t>主要内容介绍</w:t>
            </w:r>
          </w:p>
        </w:tc>
        <w:tc>
          <w:tcPr>
            <w:tcW w:w="4005" w:type="pct"/>
            <w:vAlign w:val="center"/>
          </w:tcPr>
          <w:p w14:paraId="6117333A">
            <w:pPr>
              <w:ind w:firstLine="210" w:firstLineChars="100"/>
              <w:rPr>
                <w:color w:val="auto"/>
                <w:szCs w:val="21"/>
              </w:rPr>
            </w:pPr>
            <w:bookmarkStart w:id="4" w:name="OLE_LINK3"/>
            <w:bookmarkStart w:id="5" w:name="OLE_LINK4"/>
            <w:r>
              <w:rPr>
                <w:color w:val="auto"/>
                <w:szCs w:val="21"/>
              </w:rPr>
              <w:t>公司近期就经营情况、行业情况等市场关注热点与调研机构进行沟通交流，具体沟通内容如下：</w:t>
            </w:r>
            <w:bookmarkEnd w:id="4"/>
            <w:bookmarkEnd w:id="5"/>
          </w:p>
          <w:p w14:paraId="65C990F5">
            <w:pPr>
              <w:ind w:firstLine="210" w:firstLineChars="100"/>
              <w:rPr>
                <w:color w:val="auto"/>
                <w:szCs w:val="21"/>
              </w:rPr>
            </w:pPr>
          </w:p>
          <w:p w14:paraId="76185BC9">
            <w:pPr>
              <w:ind w:firstLine="211" w:firstLineChars="100"/>
              <w:rPr>
                <w:b/>
                <w:bCs/>
                <w:color w:val="auto"/>
                <w:szCs w:val="21"/>
              </w:rPr>
            </w:pPr>
            <w:r>
              <w:rPr>
                <w:b/>
                <w:bCs/>
                <w:color w:val="auto"/>
                <w:szCs w:val="21"/>
              </w:rPr>
              <w:t>1．问：2025年前三季度公司收入和利润表现都十分亮眼，其原因是什么？</w:t>
            </w:r>
          </w:p>
          <w:p w14:paraId="19B23BA3">
            <w:pPr>
              <w:ind w:firstLine="210" w:firstLineChars="100"/>
              <w:rPr>
                <w:color w:val="auto"/>
                <w:szCs w:val="21"/>
              </w:rPr>
            </w:pPr>
            <w:r>
              <w:rPr>
                <w:color w:val="auto"/>
                <w:szCs w:val="21"/>
              </w:rPr>
              <w:t>答：</w:t>
            </w:r>
            <w:bookmarkStart w:id="6" w:name="OLE_LINK6"/>
            <w:bookmarkStart w:id="7" w:name="OLE_LINK5"/>
            <w:r>
              <w:rPr>
                <w:color w:val="auto"/>
                <w:szCs w:val="21"/>
              </w:rPr>
              <w:t>2025年前三季度</w:t>
            </w:r>
            <w:bookmarkEnd w:id="6"/>
            <w:bookmarkEnd w:id="7"/>
            <w:r>
              <w:rPr>
                <w:color w:val="auto"/>
                <w:szCs w:val="21"/>
              </w:rPr>
              <w:t>公司经营状况良好</w:t>
            </w:r>
            <w:r>
              <w:rPr>
                <w:rFonts w:hint="eastAsia"/>
                <w:color w:val="auto"/>
                <w:szCs w:val="21"/>
              </w:rPr>
              <w:t>。得益于</w:t>
            </w:r>
            <w:r>
              <w:rPr>
                <w:color w:val="auto"/>
                <w:szCs w:val="21"/>
              </w:rPr>
              <w:t>大项目、大订单</w:t>
            </w:r>
            <w:r>
              <w:rPr>
                <w:rFonts w:hint="eastAsia"/>
                <w:color w:val="auto"/>
                <w:szCs w:val="21"/>
              </w:rPr>
              <w:t>顺利</w:t>
            </w:r>
            <w:r>
              <w:rPr>
                <w:color w:val="auto"/>
                <w:szCs w:val="21"/>
              </w:rPr>
              <w:t>交付验收</w:t>
            </w:r>
            <w:r>
              <w:rPr>
                <w:rFonts w:hint="eastAsia"/>
                <w:color w:val="auto"/>
                <w:szCs w:val="21"/>
              </w:rPr>
              <w:t>，公司</w:t>
            </w:r>
            <w:r>
              <w:rPr>
                <w:color w:val="auto"/>
                <w:szCs w:val="21"/>
              </w:rPr>
              <w:t>2025年前三季度营业收入</w:t>
            </w:r>
            <w:r>
              <w:rPr>
                <w:rFonts w:hint="eastAsia"/>
                <w:color w:val="auto"/>
                <w:szCs w:val="21"/>
              </w:rPr>
              <w:t>同比</w:t>
            </w:r>
            <w:r>
              <w:rPr>
                <w:color w:val="auto"/>
                <w:szCs w:val="21"/>
              </w:rPr>
              <w:t>大幅增长。</w:t>
            </w:r>
          </w:p>
          <w:p w14:paraId="627A0AB0">
            <w:pPr>
              <w:ind w:firstLine="210" w:firstLineChars="100"/>
              <w:rPr>
                <w:color w:val="auto"/>
                <w:szCs w:val="21"/>
              </w:rPr>
            </w:pPr>
            <w:r>
              <w:rPr>
                <w:color w:val="auto"/>
                <w:szCs w:val="21"/>
              </w:rPr>
              <w:t>公司2025年前三季度归属于上市公司股东的净利润为3.22亿元，同比增长90.08%，主要原因系公司营业收入较去年同期大幅增加，</w:t>
            </w:r>
            <w:r>
              <w:rPr>
                <w:rFonts w:hint="eastAsia"/>
                <w:color w:val="auto"/>
                <w:szCs w:val="21"/>
              </w:rPr>
              <w:t>带动</w:t>
            </w:r>
            <w:r>
              <w:rPr>
                <w:color w:val="auto"/>
                <w:szCs w:val="21"/>
              </w:rPr>
              <w:t>净利润相应</w:t>
            </w:r>
            <w:r>
              <w:rPr>
                <w:rFonts w:hint="eastAsia"/>
                <w:color w:val="auto"/>
                <w:szCs w:val="21"/>
              </w:rPr>
              <w:t>提升</w:t>
            </w:r>
            <w:r>
              <w:rPr>
                <w:color w:val="auto"/>
                <w:szCs w:val="21"/>
              </w:rPr>
              <w:t>。</w:t>
            </w:r>
          </w:p>
          <w:p w14:paraId="4099857C">
            <w:pPr>
              <w:ind w:firstLine="210" w:firstLineChars="100"/>
              <w:rPr>
                <w:color w:val="auto"/>
                <w:szCs w:val="21"/>
              </w:rPr>
            </w:pPr>
          </w:p>
          <w:p w14:paraId="24C7C305">
            <w:pPr>
              <w:ind w:firstLine="211" w:firstLineChars="100"/>
              <w:rPr>
                <w:bCs/>
                <w:color w:val="auto"/>
                <w:sz w:val="24"/>
              </w:rPr>
            </w:pPr>
            <w:r>
              <w:rPr>
                <w:rFonts w:hint="eastAsia"/>
                <w:b/>
                <w:bCs/>
                <w:color w:val="auto"/>
                <w:szCs w:val="21"/>
              </w:rPr>
              <w:t>2</w:t>
            </w:r>
            <w:r>
              <w:rPr>
                <w:b/>
                <w:bCs/>
                <w:color w:val="auto"/>
                <w:szCs w:val="21"/>
              </w:rPr>
              <w:t>．问：</w:t>
            </w:r>
            <w:r>
              <w:rPr>
                <w:rFonts w:hint="eastAsia"/>
                <w:b/>
                <w:bCs/>
                <w:color w:val="auto"/>
                <w:szCs w:val="21"/>
              </w:rPr>
              <w:t>能否</w:t>
            </w:r>
            <w:r>
              <w:rPr>
                <w:b/>
                <w:bCs/>
                <w:color w:val="auto"/>
                <w:szCs w:val="21"/>
              </w:rPr>
              <w:t>展望</w:t>
            </w:r>
            <w:r>
              <w:rPr>
                <w:rFonts w:hint="eastAsia"/>
                <w:b/>
                <w:bCs/>
                <w:color w:val="auto"/>
                <w:szCs w:val="21"/>
              </w:rPr>
              <w:t>一下</w:t>
            </w:r>
            <w:r>
              <w:rPr>
                <w:b/>
                <w:bCs/>
                <w:color w:val="auto"/>
                <w:szCs w:val="21"/>
              </w:rPr>
              <w:t>，未来行业需求将呈现怎样的趋势？</w:t>
            </w:r>
          </w:p>
          <w:p w14:paraId="67288116">
            <w:pPr>
              <w:ind w:firstLine="210" w:firstLineChars="100"/>
              <w:rPr>
                <w:color w:val="auto"/>
                <w:szCs w:val="21"/>
              </w:rPr>
            </w:pPr>
            <w:r>
              <w:rPr>
                <w:color w:val="auto"/>
                <w:szCs w:val="21"/>
              </w:rPr>
              <w:t>答：2025年前三季度，受益于设备更新、煤化工等政策影响，下游需求</w:t>
            </w:r>
            <w:r>
              <w:rPr>
                <w:rFonts w:hint="eastAsia"/>
                <w:color w:val="auto"/>
                <w:szCs w:val="21"/>
              </w:rPr>
              <w:t>呈现</w:t>
            </w:r>
            <w:r>
              <w:rPr>
                <w:color w:val="auto"/>
                <w:szCs w:val="21"/>
              </w:rPr>
              <w:t>稳中有增</w:t>
            </w:r>
            <w:r>
              <w:rPr>
                <w:rFonts w:hint="eastAsia"/>
                <w:color w:val="auto"/>
                <w:szCs w:val="21"/>
              </w:rPr>
              <w:t>趋势</w:t>
            </w:r>
            <w:r>
              <w:rPr>
                <w:color w:val="auto"/>
                <w:szCs w:val="21"/>
              </w:rPr>
              <w:t>，市场</w:t>
            </w:r>
            <w:r>
              <w:rPr>
                <w:rFonts w:hint="eastAsia"/>
                <w:color w:val="auto"/>
                <w:szCs w:val="21"/>
              </w:rPr>
              <w:t>整体</w:t>
            </w:r>
            <w:r>
              <w:rPr>
                <w:color w:val="auto"/>
                <w:szCs w:val="21"/>
              </w:rPr>
              <w:t>环境</w:t>
            </w:r>
            <w:r>
              <w:rPr>
                <w:rFonts w:hint="eastAsia"/>
                <w:color w:val="auto"/>
                <w:szCs w:val="21"/>
              </w:rPr>
              <w:t>保持</w:t>
            </w:r>
            <w:r>
              <w:rPr>
                <w:color w:val="auto"/>
                <w:szCs w:val="21"/>
              </w:rPr>
              <w:t>平稳。随着国家</w:t>
            </w:r>
            <w:r>
              <w:rPr>
                <w:rFonts w:ascii="宋体" w:hAnsi="宋体"/>
                <w:color w:val="auto"/>
                <w:szCs w:val="21"/>
              </w:rPr>
              <w:t>“</w:t>
            </w:r>
            <w:r>
              <w:rPr>
                <w:rFonts w:hint="eastAsia" w:ascii="宋体" w:hAnsi="宋体"/>
                <w:color w:val="auto"/>
                <w:szCs w:val="21"/>
              </w:rPr>
              <w:t>大规模设备更新</w:t>
            </w:r>
            <w:r>
              <w:rPr>
                <w:rFonts w:ascii="宋体" w:hAnsi="宋体"/>
                <w:color w:val="auto"/>
                <w:szCs w:val="21"/>
              </w:rPr>
              <w:t>”</w:t>
            </w:r>
            <w:r>
              <w:rPr>
                <w:rFonts w:hint="eastAsia" w:ascii="宋体" w:hAnsi="宋体"/>
                <w:color w:val="auto"/>
                <w:szCs w:val="21"/>
              </w:rPr>
              <w:t>及</w:t>
            </w:r>
            <w:r>
              <w:rPr>
                <w:rFonts w:ascii="宋体" w:hAnsi="宋体"/>
                <w:color w:val="auto"/>
                <w:szCs w:val="21"/>
              </w:rPr>
              <w:t>“</w:t>
            </w:r>
            <w:r>
              <w:rPr>
                <w:rFonts w:hint="eastAsia" w:ascii="宋体" w:hAnsi="宋体"/>
                <w:color w:val="auto"/>
                <w:szCs w:val="21"/>
              </w:rPr>
              <w:t>新质生产力</w:t>
            </w:r>
            <w:r>
              <w:rPr>
                <w:rFonts w:ascii="宋体" w:hAnsi="宋体"/>
                <w:color w:val="auto"/>
                <w:szCs w:val="21"/>
              </w:rPr>
              <w:t>”</w:t>
            </w:r>
            <w:r>
              <w:rPr>
                <w:color w:val="auto"/>
                <w:szCs w:val="21"/>
              </w:rPr>
              <w:t>等相关政策不断推进，制造业高端化、智能化、绿色化水平将大幅提升、进程将显著提速，以气力输送为核心的粉粒体物料处理系统未来应用领域有望持续拓宽，拥有更广阔的市场空间</w:t>
            </w:r>
            <w:r>
              <w:rPr>
                <w:rFonts w:hint="eastAsia"/>
                <w:color w:val="auto"/>
                <w:szCs w:val="21"/>
              </w:rPr>
              <w:t>。</w:t>
            </w:r>
          </w:p>
          <w:p w14:paraId="70492AB9">
            <w:pPr>
              <w:ind w:firstLine="210" w:firstLineChars="100"/>
              <w:rPr>
                <w:color w:val="auto"/>
                <w:szCs w:val="21"/>
              </w:rPr>
            </w:pPr>
          </w:p>
          <w:p w14:paraId="2263496B">
            <w:pPr>
              <w:ind w:firstLine="211" w:firstLineChars="100"/>
              <w:rPr>
                <w:b/>
                <w:bCs/>
                <w:color w:val="auto"/>
                <w:szCs w:val="21"/>
              </w:rPr>
            </w:pPr>
            <w:r>
              <w:rPr>
                <w:rFonts w:hint="eastAsia"/>
                <w:b/>
                <w:bCs/>
                <w:color w:val="auto"/>
                <w:szCs w:val="21"/>
              </w:rPr>
              <w:t>3</w:t>
            </w:r>
            <w:r>
              <w:rPr>
                <w:b/>
                <w:bCs/>
                <w:color w:val="auto"/>
                <w:szCs w:val="21"/>
              </w:rPr>
              <w:t>．问：公司的</w:t>
            </w:r>
            <w:r>
              <w:rPr>
                <w:rFonts w:hint="eastAsia"/>
                <w:b/>
                <w:bCs/>
                <w:color w:val="auto"/>
                <w:szCs w:val="21"/>
              </w:rPr>
              <w:t>核心竞争力体现在哪些方面</w:t>
            </w:r>
            <w:r>
              <w:rPr>
                <w:b/>
                <w:bCs/>
                <w:color w:val="auto"/>
                <w:szCs w:val="21"/>
              </w:rPr>
              <w:t>？</w:t>
            </w:r>
          </w:p>
          <w:p w14:paraId="7CD01003">
            <w:pPr>
              <w:ind w:firstLine="210" w:firstLineChars="100"/>
              <w:rPr>
                <w:color w:val="auto"/>
                <w:szCs w:val="21"/>
              </w:rPr>
            </w:pPr>
            <w:r>
              <w:rPr>
                <w:color w:val="auto"/>
                <w:szCs w:val="21"/>
              </w:rPr>
              <w:t>答：从技术角度看，大型粉粒体物料处理系统的设计和实际操</w:t>
            </w:r>
            <w:r>
              <w:rPr>
                <w:rFonts w:hint="eastAsia"/>
                <w:color w:val="auto"/>
                <w:szCs w:val="21"/>
              </w:rPr>
              <w:t>作复杂</w:t>
            </w:r>
            <w:r>
              <w:rPr>
                <w:color w:val="auto"/>
                <w:szCs w:val="21"/>
              </w:rPr>
              <w:t>，关键变量的确定融合了多门学科，需要长期的技术沉淀和积累，丰富的工程设计、研发能力，行业</w:t>
            </w:r>
            <w:r>
              <w:rPr>
                <w:rFonts w:hint="eastAsia"/>
                <w:color w:val="auto"/>
                <w:szCs w:val="21"/>
              </w:rPr>
              <w:t>门槛及</w:t>
            </w:r>
            <w:r>
              <w:rPr>
                <w:color w:val="auto"/>
                <w:szCs w:val="21"/>
              </w:rPr>
              <w:t>技术壁垒较高。</w:t>
            </w:r>
          </w:p>
          <w:p w14:paraId="215883A8">
            <w:pPr>
              <w:ind w:firstLine="210" w:firstLineChars="100"/>
              <w:rPr>
                <w:color w:val="auto"/>
                <w:szCs w:val="21"/>
              </w:rPr>
            </w:pPr>
            <w:r>
              <w:rPr>
                <w:color w:val="auto"/>
                <w:szCs w:val="21"/>
              </w:rPr>
              <w:t>从业绩角度看，石化</w:t>
            </w:r>
            <w:r>
              <w:rPr>
                <w:rFonts w:hint="eastAsia"/>
                <w:color w:val="auto"/>
                <w:szCs w:val="21"/>
              </w:rPr>
              <w:t>和</w:t>
            </w:r>
            <w:r>
              <w:rPr>
                <w:color w:val="auto"/>
                <w:szCs w:val="21"/>
              </w:rPr>
              <w:t>化工</w:t>
            </w:r>
            <w:r>
              <w:rPr>
                <w:rFonts w:hint="eastAsia"/>
                <w:color w:val="auto"/>
                <w:szCs w:val="21"/>
              </w:rPr>
              <w:t>领域对大型</w:t>
            </w:r>
            <w:r>
              <w:rPr>
                <w:color w:val="auto"/>
                <w:szCs w:val="21"/>
              </w:rPr>
              <w:t>装置安全性、稳定性</w:t>
            </w:r>
            <w:r>
              <w:rPr>
                <w:rFonts w:hint="eastAsia"/>
                <w:color w:val="auto"/>
                <w:szCs w:val="21"/>
              </w:rPr>
              <w:t>有较高</w:t>
            </w:r>
            <w:r>
              <w:rPr>
                <w:color w:val="auto"/>
                <w:szCs w:val="21"/>
              </w:rPr>
              <w:t>要求，供应商需要具备丰富的项目实施经验、可持续的产品研发能力、良好的产品制造能力、专业化的项目团队和长期综合的服务能力。</w:t>
            </w:r>
          </w:p>
          <w:p w14:paraId="2C9BB1A6">
            <w:pPr>
              <w:ind w:firstLine="210" w:firstLineChars="100"/>
              <w:rPr>
                <w:color w:val="auto"/>
                <w:szCs w:val="21"/>
              </w:rPr>
            </w:pPr>
            <w:r>
              <w:rPr>
                <w:color w:val="auto"/>
                <w:szCs w:val="21"/>
              </w:rPr>
              <w:t>从人才和体系沉淀角度看，</w:t>
            </w:r>
            <w:r>
              <w:rPr>
                <w:rFonts w:hint="eastAsia"/>
                <w:color w:val="auto"/>
                <w:szCs w:val="21"/>
              </w:rPr>
              <w:t>为提供</w:t>
            </w:r>
            <w:r>
              <w:rPr>
                <w:color w:val="auto"/>
                <w:szCs w:val="21"/>
              </w:rPr>
              <w:t>技术密集型</w:t>
            </w:r>
            <w:r>
              <w:rPr>
                <w:rFonts w:hint="eastAsia"/>
                <w:color w:val="auto"/>
                <w:szCs w:val="21"/>
              </w:rPr>
              <w:t>且高度定制化的</w:t>
            </w:r>
            <w:r>
              <w:rPr>
                <w:color w:val="auto"/>
                <w:szCs w:val="21"/>
              </w:rPr>
              <w:t>产品，供应商需要深入了解客户需求、掌握生产工艺特征</w:t>
            </w:r>
            <w:r>
              <w:rPr>
                <w:rFonts w:hint="eastAsia"/>
                <w:color w:val="auto"/>
                <w:szCs w:val="21"/>
              </w:rPr>
              <w:t>并</w:t>
            </w:r>
            <w:r>
              <w:rPr>
                <w:color w:val="auto"/>
                <w:szCs w:val="21"/>
              </w:rPr>
              <w:t>具备丰富项目工程经验。</w:t>
            </w:r>
          </w:p>
          <w:p w14:paraId="2D70D657">
            <w:pPr>
              <w:ind w:firstLine="210" w:firstLineChars="100"/>
              <w:rPr>
                <w:color w:val="auto"/>
                <w:szCs w:val="21"/>
              </w:rPr>
            </w:pPr>
            <w:r>
              <w:rPr>
                <w:color w:val="auto"/>
                <w:szCs w:val="21"/>
              </w:rPr>
              <w:t>从资金角度看，大型粉粒体物料处理系统项目执行周期通常在两年以上，设备价值</w:t>
            </w:r>
            <w:r>
              <w:rPr>
                <w:rFonts w:hint="eastAsia"/>
                <w:color w:val="auto"/>
                <w:szCs w:val="21"/>
              </w:rPr>
              <w:t>较高</w:t>
            </w:r>
            <w:r>
              <w:rPr>
                <w:color w:val="auto"/>
                <w:szCs w:val="21"/>
              </w:rPr>
              <w:t>，需要在研发、生产和服务环节持续投入，</w:t>
            </w:r>
            <w:r>
              <w:rPr>
                <w:rFonts w:hint="eastAsia"/>
                <w:color w:val="auto"/>
                <w:szCs w:val="21"/>
              </w:rPr>
              <w:t>并</w:t>
            </w:r>
            <w:r>
              <w:rPr>
                <w:color w:val="auto"/>
                <w:szCs w:val="21"/>
              </w:rPr>
              <w:t>具有较强的资金实力。</w:t>
            </w:r>
          </w:p>
          <w:p w14:paraId="26BED059">
            <w:pPr>
              <w:ind w:firstLine="210" w:firstLineChars="100"/>
              <w:rPr>
                <w:color w:val="auto"/>
                <w:szCs w:val="21"/>
              </w:rPr>
            </w:pPr>
            <w:r>
              <w:rPr>
                <w:color w:val="auto"/>
                <w:szCs w:val="21"/>
              </w:rPr>
              <w:t>综上，公司竞争力</w:t>
            </w:r>
            <w:r>
              <w:rPr>
                <w:rFonts w:hint="eastAsia"/>
                <w:color w:val="auto"/>
                <w:szCs w:val="21"/>
              </w:rPr>
              <w:t>体现在</w:t>
            </w:r>
            <w:r>
              <w:rPr>
                <w:color w:val="auto"/>
                <w:szCs w:val="21"/>
              </w:rPr>
              <w:t>技术研发、项目</w:t>
            </w:r>
            <w:r>
              <w:rPr>
                <w:rFonts w:hint="eastAsia"/>
                <w:color w:val="auto"/>
                <w:szCs w:val="21"/>
              </w:rPr>
              <w:t>执行</w:t>
            </w:r>
            <w:r>
              <w:rPr>
                <w:color w:val="auto"/>
                <w:szCs w:val="21"/>
              </w:rPr>
              <w:t>经验、组织</w:t>
            </w:r>
            <w:r>
              <w:rPr>
                <w:rFonts w:hint="eastAsia"/>
                <w:color w:val="auto"/>
                <w:szCs w:val="21"/>
              </w:rPr>
              <w:t>能力</w:t>
            </w:r>
            <w:r>
              <w:rPr>
                <w:color w:val="auto"/>
                <w:szCs w:val="21"/>
              </w:rPr>
              <w:t>、资金保障等</w:t>
            </w:r>
            <w:r>
              <w:rPr>
                <w:rFonts w:hint="eastAsia"/>
                <w:color w:val="auto"/>
                <w:szCs w:val="21"/>
              </w:rPr>
              <w:t>多个方面</w:t>
            </w:r>
            <w:r>
              <w:rPr>
                <w:color w:val="auto"/>
                <w:szCs w:val="21"/>
              </w:rPr>
              <w:t>。</w:t>
            </w:r>
          </w:p>
          <w:p w14:paraId="0D0F136D">
            <w:pPr>
              <w:ind w:firstLine="210" w:firstLineChars="100"/>
              <w:rPr>
                <w:color w:val="auto"/>
                <w:szCs w:val="21"/>
              </w:rPr>
            </w:pPr>
          </w:p>
          <w:p w14:paraId="36941C8A">
            <w:pPr>
              <w:ind w:firstLine="211" w:firstLineChars="100"/>
              <w:rPr>
                <w:b/>
                <w:bCs/>
                <w:color w:val="auto"/>
                <w:szCs w:val="21"/>
              </w:rPr>
            </w:pPr>
            <w:r>
              <w:rPr>
                <w:rFonts w:hint="eastAsia"/>
                <w:b/>
                <w:bCs/>
                <w:color w:val="auto"/>
                <w:szCs w:val="21"/>
              </w:rPr>
              <w:t>4</w:t>
            </w:r>
            <w:r>
              <w:rPr>
                <w:b/>
                <w:bCs/>
                <w:color w:val="auto"/>
                <w:szCs w:val="21"/>
              </w:rPr>
              <w:t>．问：公司过往的分红情况如何？</w:t>
            </w:r>
          </w:p>
          <w:p w14:paraId="510DBCCF">
            <w:pPr>
              <w:ind w:firstLine="210" w:firstLineChars="100"/>
              <w:rPr>
                <w:color w:val="auto"/>
                <w:szCs w:val="21"/>
              </w:rPr>
            </w:pPr>
            <w:r>
              <w:rPr>
                <w:color w:val="auto"/>
                <w:szCs w:val="21"/>
              </w:rPr>
              <w:t>答：公司于2025年12月</w:t>
            </w:r>
            <w:r>
              <w:rPr>
                <w:rFonts w:hint="eastAsia"/>
                <w:color w:val="auto"/>
                <w:szCs w:val="21"/>
              </w:rPr>
              <w:t>完成</w:t>
            </w:r>
            <w:r>
              <w:rPr>
                <w:color w:val="auto"/>
                <w:szCs w:val="21"/>
              </w:rPr>
              <w:t>2025年前三季度权益分派，向全体股东每10股派发现金红利6元（含税），合计派发现金红利4,800.24万元（含税）。自</w:t>
            </w:r>
            <w:r>
              <w:rPr>
                <w:rFonts w:hint="eastAsia"/>
                <w:color w:val="auto"/>
                <w:szCs w:val="21"/>
              </w:rPr>
              <w:t>公司</w:t>
            </w:r>
            <w:r>
              <w:rPr>
                <w:color w:val="auto"/>
                <w:szCs w:val="21"/>
              </w:rPr>
              <w:t>上市以来，累计分红2.25亿元。</w:t>
            </w:r>
            <w:r>
              <w:rPr>
                <w:rFonts w:hint="eastAsia"/>
                <w:color w:val="auto"/>
                <w:szCs w:val="21"/>
              </w:rPr>
              <w:t>公司始终重视股东回报，并致力于实现持续的价值分配。</w:t>
            </w:r>
          </w:p>
          <w:p w14:paraId="42714D9C">
            <w:pPr>
              <w:ind w:firstLine="210" w:firstLineChars="100"/>
              <w:rPr>
                <w:color w:val="auto"/>
                <w:szCs w:val="21"/>
              </w:rPr>
            </w:pPr>
          </w:p>
          <w:p w14:paraId="770A6878">
            <w:pPr>
              <w:ind w:firstLine="211" w:firstLineChars="100"/>
              <w:rPr>
                <w:b/>
                <w:bCs/>
                <w:color w:val="auto"/>
                <w:szCs w:val="21"/>
              </w:rPr>
            </w:pPr>
            <w:r>
              <w:rPr>
                <w:rFonts w:hint="eastAsia"/>
                <w:b/>
                <w:bCs/>
                <w:color w:val="auto"/>
                <w:szCs w:val="21"/>
              </w:rPr>
              <w:t>5</w:t>
            </w:r>
            <w:r>
              <w:rPr>
                <w:b/>
                <w:bCs/>
                <w:color w:val="auto"/>
                <w:szCs w:val="21"/>
              </w:rPr>
              <w:t>．问：公司未来有没有并购计划？</w:t>
            </w:r>
          </w:p>
          <w:p w14:paraId="42C51788">
            <w:pPr>
              <w:ind w:firstLine="210" w:firstLineChars="100"/>
              <w:rPr>
                <w:bCs/>
                <w:color w:val="auto"/>
                <w:sz w:val="24"/>
              </w:rPr>
            </w:pPr>
            <w:r>
              <w:rPr>
                <w:color w:val="auto"/>
                <w:szCs w:val="21"/>
              </w:rPr>
              <w:t>答：公司基于长远发展战略，积极关注产业链上下游及相关行业的优质投资标的。若未来启动具体项目并购，公司将严格履行内部决策程序及信息披露义务，确保过程合法合规、信息</w:t>
            </w:r>
            <w:r>
              <w:rPr>
                <w:rFonts w:hint="eastAsia"/>
                <w:color w:val="auto"/>
                <w:szCs w:val="21"/>
              </w:rPr>
              <w:t>公开</w:t>
            </w:r>
            <w:r>
              <w:rPr>
                <w:color w:val="auto"/>
                <w:szCs w:val="21"/>
              </w:rPr>
              <w:t>透明</w:t>
            </w:r>
            <w:r>
              <w:rPr>
                <w:rFonts w:hint="eastAsia"/>
                <w:color w:val="auto"/>
                <w:szCs w:val="21"/>
              </w:rPr>
              <w:t>，为股东创造长期价值。</w:t>
            </w:r>
          </w:p>
        </w:tc>
      </w:tr>
      <w:tr w14:paraId="619F4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8FA3650">
            <w:pPr>
              <w:widowControl/>
              <w:adjustRightInd w:val="0"/>
              <w:snapToGrid w:val="0"/>
              <w:jc w:val="center"/>
              <w:rPr>
                <w:b/>
                <w:color w:val="auto"/>
                <w:kern w:val="0"/>
                <w:szCs w:val="21"/>
              </w:rPr>
            </w:pPr>
            <w:r>
              <w:rPr>
                <w:b/>
                <w:color w:val="auto"/>
                <w:kern w:val="0"/>
                <w:szCs w:val="21"/>
              </w:rPr>
              <w:t>附件（如有）</w:t>
            </w:r>
          </w:p>
        </w:tc>
        <w:tc>
          <w:tcPr>
            <w:tcW w:w="4005" w:type="pct"/>
            <w:vAlign w:val="center"/>
          </w:tcPr>
          <w:p w14:paraId="720269BC">
            <w:pPr>
              <w:widowControl/>
              <w:adjustRightInd w:val="0"/>
              <w:snapToGrid w:val="0"/>
              <w:rPr>
                <w:color w:val="auto"/>
                <w:kern w:val="0"/>
                <w:szCs w:val="21"/>
              </w:rPr>
            </w:pPr>
            <w:r>
              <w:rPr>
                <w:color w:val="auto"/>
                <w:kern w:val="0"/>
                <w:szCs w:val="21"/>
              </w:rPr>
              <w:t>无</w:t>
            </w:r>
          </w:p>
        </w:tc>
      </w:tr>
      <w:tr w14:paraId="7C67C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66E3F9D">
            <w:pPr>
              <w:widowControl/>
              <w:adjustRightInd w:val="0"/>
              <w:snapToGrid w:val="0"/>
              <w:jc w:val="center"/>
              <w:rPr>
                <w:b/>
                <w:color w:val="auto"/>
                <w:kern w:val="0"/>
                <w:szCs w:val="21"/>
              </w:rPr>
            </w:pPr>
            <w:r>
              <w:rPr>
                <w:b/>
                <w:color w:val="auto"/>
                <w:kern w:val="0"/>
                <w:szCs w:val="21"/>
              </w:rPr>
              <w:t>日期</w:t>
            </w:r>
          </w:p>
        </w:tc>
        <w:tc>
          <w:tcPr>
            <w:tcW w:w="4005" w:type="pct"/>
            <w:vAlign w:val="center"/>
          </w:tcPr>
          <w:p w14:paraId="3E8B2DC5">
            <w:pPr>
              <w:widowControl/>
              <w:adjustRightInd w:val="0"/>
              <w:snapToGrid w:val="0"/>
              <w:rPr>
                <w:color w:val="auto"/>
                <w:kern w:val="0"/>
                <w:szCs w:val="21"/>
              </w:rPr>
            </w:pPr>
            <w:r>
              <w:rPr>
                <w:color w:val="auto"/>
                <w:kern w:val="0"/>
                <w:szCs w:val="21"/>
              </w:rPr>
              <w:t>2026年</w:t>
            </w:r>
            <w:r>
              <w:rPr>
                <w:rFonts w:hint="eastAsia"/>
                <w:color w:val="auto"/>
                <w:kern w:val="0"/>
                <w:szCs w:val="21"/>
              </w:rPr>
              <w:t>2</w:t>
            </w:r>
            <w:r>
              <w:rPr>
                <w:color w:val="auto"/>
                <w:kern w:val="0"/>
                <w:szCs w:val="21"/>
              </w:rPr>
              <w:t>月</w:t>
            </w:r>
            <w:r>
              <w:rPr>
                <w:rFonts w:hint="eastAsia"/>
                <w:color w:val="auto"/>
                <w:kern w:val="0"/>
                <w:szCs w:val="21"/>
              </w:rPr>
              <w:t>27</w:t>
            </w:r>
            <w:r>
              <w:rPr>
                <w:color w:val="auto"/>
                <w:kern w:val="0"/>
                <w:szCs w:val="21"/>
              </w:rPr>
              <w:t>日</w:t>
            </w:r>
          </w:p>
        </w:tc>
      </w:tr>
    </w:tbl>
    <w:p w14:paraId="33453201">
      <w:pPr>
        <w:jc w:val="left"/>
        <w:rPr>
          <w:color w:val="auto"/>
          <w:szCs w:val="21"/>
        </w:rPr>
      </w:pPr>
      <w:r>
        <w:rPr>
          <w:color w:val="auto"/>
          <w:szCs w:val="21"/>
        </w:rPr>
        <w:t>注1：本记录表中宏观经济行业内容仅供参考，不构成投资建议。</w:t>
      </w:r>
    </w:p>
    <w:p w14:paraId="009C2350">
      <w:pPr>
        <w:jc w:val="left"/>
        <w:rPr>
          <w:color w:val="auto"/>
          <w:szCs w:val="21"/>
        </w:rPr>
      </w:pPr>
      <w:r>
        <w:rPr>
          <w:color w:val="auto"/>
          <w:szCs w:val="21"/>
        </w:rPr>
        <w:t>注2：调研以</w:t>
      </w:r>
      <w:r>
        <w:rPr>
          <w:rFonts w:hint="eastAsia"/>
          <w:color w:val="auto"/>
          <w:szCs w:val="21"/>
        </w:rPr>
        <w:t>网络会议</w:t>
      </w:r>
      <w:r>
        <w:rPr>
          <w:color w:val="auto"/>
          <w:szCs w:val="21"/>
        </w:rPr>
        <w:t>的形式开展，在交流活动中，公司严格遵守相关规定，没有发生未公开重大信息泄露等情况。</w:t>
      </w:r>
    </w:p>
    <w:sectPr>
      <w:footerReference r:id="rId3" w:type="default"/>
      <w:pgSz w:w="11908" w:h="16838"/>
      <w:pgMar w:top="1418" w:right="1701" w:bottom="1418" w:left="1701"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194698"/>
    </w:sdtPr>
    <w:sdtContent>
      <w:p w14:paraId="01036A77">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7E"/>
    <w:rsid w:val="00001234"/>
    <w:rsid w:val="0000153F"/>
    <w:rsid w:val="00001B50"/>
    <w:rsid w:val="00002233"/>
    <w:rsid w:val="000025AD"/>
    <w:rsid w:val="000036D7"/>
    <w:rsid w:val="00004FFF"/>
    <w:rsid w:val="00006F9A"/>
    <w:rsid w:val="000076C9"/>
    <w:rsid w:val="000109B4"/>
    <w:rsid w:val="00010BAC"/>
    <w:rsid w:val="0001111F"/>
    <w:rsid w:val="00011E1E"/>
    <w:rsid w:val="0001213E"/>
    <w:rsid w:val="00012939"/>
    <w:rsid w:val="00014442"/>
    <w:rsid w:val="0001516E"/>
    <w:rsid w:val="000154FB"/>
    <w:rsid w:val="00015B65"/>
    <w:rsid w:val="00015CFB"/>
    <w:rsid w:val="00016318"/>
    <w:rsid w:val="000168BF"/>
    <w:rsid w:val="0001746F"/>
    <w:rsid w:val="00021693"/>
    <w:rsid w:val="0002227D"/>
    <w:rsid w:val="000230C7"/>
    <w:rsid w:val="00024B1E"/>
    <w:rsid w:val="00025BEE"/>
    <w:rsid w:val="000266AA"/>
    <w:rsid w:val="00027101"/>
    <w:rsid w:val="00030143"/>
    <w:rsid w:val="000316BF"/>
    <w:rsid w:val="00031F5E"/>
    <w:rsid w:val="000322B3"/>
    <w:rsid w:val="00032A46"/>
    <w:rsid w:val="00033D42"/>
    <w:rsid w:val="000343EB"/>
    <w:rsid w:val="000359E9"/>
    <w:rsid w:val="000404EC"/>
    <w:rsid w:val="00041AF2"/>
    <w:rsid w:val="00042CE7"/>
    <w:rsid w:val="00044250"/>
    <w:rsid w:val="0004429C"/>
    <w:rsid w:val="0004433B"/>
    <w:rsid w:val="00044748"/>
    <w:rsid w:val="00045F33"/>
    <w:rsid w:val="0004656D"/>
    <w:rsid w:val="00046FC7"/>
    <w:rsid w:val="00052C0B"/>
    <w:rsid w:val="00053383"/>
    <w:rsid w:val="00053B70"/>
    <w:rsid w:val="00053E81"/>
    <w:rsid w:val="0005410E"/>
    <w:rsid w:val="000543B5"/>
    <w:rsid w:val="00054476"/>
    <w:rsid w:val="00054E7C"/>
    <w:rsid w:val="00057256"/>
    <w:rsid w:val="000573D9"/>
    <w:rsid w:val="000579E0"/>
    <w:rsid w:val="00057FEE"/>
    <w:rsid w:val="00062E13"/>
    <w:rsid w:val="00065EA2"/>
    <w:rsid w:val="00066505"/>
    <w:rsid w:val="00067D35"/>
    <w:rsid w:val="00070200"/>
    <w:rsid w:val="000706A0"/>
    <w:rsid w:val="00070974"/>
    <w:rsid w:val="00072F87"/>
    <w:rsid w:val="0007324C"/>
    <w:rsid w:val="00076B82"/>
    <w:rsid w:val="000801B2"/>
    <w:rsid w:val="0008060F"/>
    <w:rsid w:val="00084D13"/>
    <w:rsid w:val="00084E87"/>
    <w:rsid w:val="00085D7E"/>
    <w:rsid w:val="00086404"/>
    <w:rsid w:val="000865ED"/>
    <w:rsid w:val="00086FF6"/>
    <w:rsid w:val="000874F6"/>
    <w:rsid w:val="00087DE3"/>
    <w:rsid w:val="00087F7C"/>
    <w:rsid w:val="00090365"/>
    <w:rsid w:val="00090541"/>
    <w:rsid w:val="00092096"/>
    <w:rsid w:val="0009531D"/>
    <w:rsid w:val="00097277"/>
    <w:rsid w:val="000A08B8"/>
    <w:rsid w:val="000A0C58"/>
    <w:rsid w:val="000A27C2"/>
    <w:rsid w:val="000A3BB3"/>
    <w:rsid w:val="000A5F27"/>
    <w:rsid w:val="000A6EB9"/>
    <w:rsid w:val="000A7586"/>
    <w:rsid w:val="000A78F0"/>
    <w:rsid w:val="000B00A5"/>
    <w:rsid w:val="000B21B6"/>
    <w:rsid w:val="000B234A"/>
    <w:rsid w:val="000B2CFF"/>
    <w:rsid w:val="000B4787"/>
    <w:rsid w:val="000B4A4F"/>
    <w:rsid w:val="000B5B16"/>
    <w:rsid w:val="000B602A"/>
    <w:rsid w:val="000B60AB"/>
    <w:rsid w:val="000B75DF"/>
    <w:rsid w:val="000B76DC"/>
    <w:rsid w:val="000B7C87"/>
    <w:rsid w:val="000B7D1A"/>
    <w:rsid w:val="000B7FAA"/>
    <w:rsid w:val="000C06E8"/>
    <w:rsid w:val="000C2C41"/>
    <w:rsid w:val="000C37D6"/>
    <w:rsid w:val="000C38C3"/>
    <w:rsid w:val="000C3AD7"/>
    <w:rsid w:val="000C4407"/>
    <w:rsid w:val="000C445A"/>
    <w:rsid w:val="000C4FB1"/>
    <w:rsid w:val="000C536D"/>
    <w:rsid w:val="000C5625"/>
    <w:rsid w:val="000C5E3D"/>
    <w:rsid w:val="000C68FD"/>
    <w:rsid w:val="000C6D12"/>
    <w:rsid w:val="000D00C5"/>
    <w:rsid w:val="000D0852"/>
    <w:rsid w:val="000D0A22"/>
    <w:rsid w:val="000D0BEC"/>
    <w:rsid w:val="000D1038"/>
    <w:rsid w:val="000D11C9"/>
    <w:rsid w:val="000D2604"/>
    <w:rsid w:val="000D2DD2"/>
    <w:rsid w:val="000D3A2A"/>
    <w:rsid w:val="000D3E9D"/>
    <w:rsid w:val="000D428A"/>
    <w:rsid w:val="000D4550"/>
    <w:rsid w:val="000D4CD3"/>
    <w:rsid w:val="000D4E79"/>
    <w:rsid w:val="000D5196"/>
    <w:rsid w:val="000D6C71"/>
    <w:rsid w:val="000D6E06"/>
    <w:rsid w:val="000D7EF3"/>
    <w:rsid w:val="000E077A"/>
    <w:rsid w:val="000E2487"/>
    <w:rsid w:val="000E2CD7"/>
    <w:rsid w:val="000E4918"/>
    <w:rsid w:val="000E61B7"/>
    <w:rsid w:val="000E66A2"/>
    <w:rsid w:val="000E751C"/>
    <w:rsid w:val="000E7DEF"/>
    <w:rsid w:val="000F0452"/>
    <w:rsid w:val="000F1B37"/>
    <w:rsid w:val="000F2A94"/>
    <w:rsid w:val="000F2D77"/>
    <w:rsid w:val="000F37EE"/>
    <w:rsid w:val="000F3CA9"/>
    <w:rsid w:val="000F3FBC"/>
    <w:rsid w:val="000F417B"/>
    <w:rsid w:val="000F5400"/>
    <w:rsid w:val="000F6057"/>
    <w:rsid w:val="000F751E"/>
    <w:rsid w:val="000F7661"/>
    <w:rsid w:val="000F7CD8"/>
    <w:rsid w:val="001000DD"/>
    <w:rsid w:val="00100860"/>
    <w:rsid w:val="00100BA3"/>
    <w:rsid w:val="00101F39"/>
    <w:rsid w:val="001038F9"/>
    <w:rsid w:val="00103A31"/>
    <w:rsid w:val="0010431A"/>
    <w:rsid w:val="00105B68"/>
    <w:rsid w:val="0010618C"/>
    <w:rsid w:val="00107725"/>
    <w:rsid w:val="00107F91"/>
    <w:rsid w:val="00110466"/>
    <w:rsid w:val="00111549"/>
    <w:rsid w:val="00111B88"/>
    <w:rsid w:val="00113167"/>
    <w:rsid w:val="001132FA"/>
    <w:rsid w:val="00115483"/>
    <w:rsid w:val="00115DAA"/>
    <w:rsid w:val="00117244"/>
    <w:rsid w:val="001176CA"/>
    <w:rsid w:val="00117921"/>
    <w:rsid w:val="00117FCC"/>
    <w:rsid w:val="0012096F"/>
    <w:rsid w:val="001214BA"/>
    <w:rsid w:val="00121949"/>
    <w:rsid w:val="00122C81"/>
    <w:rsid w:val="0012351B"/>
    <w:rsid w:val="001235A7"/>
    <w:rsid w:val="00123FEF"/>
    <w:rsid w:val="001244AB"/>
    <w:rsid w:val="0012645F"/>
    <w:rsid w:val="00126A64"/>
    <w:rsid w:val="00126D80"/>
    <w:rsid w:val="00127CE2"/>
    <w:rsid w:val="00127D58"/>
    <w:rsid w:val="00131104"/>
    <w:rsid w:val="00132DB9"/>
    <w:rsid w:val="00132DC8"/>
    <w:rsid w:val="00132F60"/>
    <w:rsid w:val="00133279"/>
    <w:rsid w:val="00133374"/>
    <w:rsid w:val="00136814"/>
    <w:rsid w:val="00136C01"/>
    <w:rsid w:val="00143276"/>
    <w:rsid w:val="0014424F"/>
    <w:rsid w:val="00144288"/>
    <w:rsid w:val="00145AD5"/>
    <w:rsid w:val="001474AB"/>
    <w:rsid w:val="00147558"/>
    <w:rsid w:val="001478D0"/>
    <w:rsid w:val="00151E0C"/>
    <w:rsid w:val="0015559C"/>
    <w:rsid w:val="00156B2E"/>
    <w:rsid w:val="001576EE"/>
    <w:rsid w:val="001608C6"/>
    <w:rsid w:val="001618C3"/>
    <w:rsid w:val="00163015"/>
    <w:rsid w:val="0016328C"/>
    <w:rsid w:val="0016403A"/>
    <w:rsid w:val="00164E04"/>
    <w:rsid w:val="00165765"/>
    <w:rsid w:val="001667FF"/>
    <w:rsid w:val="00166FAD"/>
    <w:rsid w:val="001726EA"/>
    <w:rsid w:val="00173993"/>
    <w:rsid w:val="00174432"/>
    <w:rsid w:val="001770A9"/>
    <w:rsid w:val="0018012E"/>
    <w:rsid w:val="00182E27"/>
    <w:rsid w:val="0018324C"/>
    <w:rsid w:val="001844F7"/>
    <w:rsid w:val="00185810"/>
    <w:rsid w:val="00185B5B"/>
    <w:rsid w:val="00185E9A"/>
    <w:rsid w:val="00186E21"/>
    <w:rsid w:val="00187647"/>
    <w:rsid w:val="00192418"/>
    <w:rsid w:val="0019327B"/>
    <w:rsid w:val="00193C7B"/>
    <w:rsid w:val="001943AC"/>
    <w:rsid w:val="00194AA8"/>
    <w:rsid w:val="00194E22"/>
    <w:rsid w:val="00194EC2"/>
    <w:rsid w:val="00195EBD"/>
    <w:rsid w:val="00196757"/>
    <w:rsid w:val="0019765C"/>
    <w:rsid w:val="001A111D"/>
    <w:rsid w:val="001A1DB3"/>
    <w:rsid w:val="001A3310"/>
    <w:rsid w:val="001A39F0"/>
    <w:rsid w:val="001A419A"/>
    <w:rsid w:val="001A5CCF"/>
    <w:rsid w:val="001A5CE3"/>
    <w:rsid w:val="001A63CF"/>
    <w:rsid w:val="001A6786"/>
    <w:rsid w:val="001A687F"/>
    <w:rsid w:val="001A6B04"/>
    <w:rsid w:val="001A6B68"/>
    <w:rsid w:val="001B0798"/>
    <w:rsid w:val="001B0BC1"/>
    <w:rsid w:val="001B1C1F"/>
    <w:rsid w:val="001B2BF8"/>
    <w:rsid w:val="001B4194"/>
    <w:rsid w:val="001B4753"/>
    <w:rsid w:val="001B57E1"/>
    <w:rsid w:val="001B6151"/>
    <w:rsid w:val="001C0E2C"/>
    <w:rsid w:val="001C0F44"/>
    <w:rsid w:val="001C0F9A"/>
    <w:rsid w:val="001C3039"/>
    <w:rsid w:val="001C3DC6"/>
    <w:rsid w:val="001C58B7"/>
    <w:rsid w:val="001C62ED"/>
    <w:rsid w:val="001C6712"/>
    <w:rsid w:val="001C69D9"/>
    <w:rsid w:val="001C75B8"/>
    <w:rsid w:val="001C7EA2"/>
    <w:rsid w:val="001D0ED8"/>
    <w:rsid w:val="001D252B"/>
    <w:rsid w:val="001D4490"/>
    <w:rsid w:val="001D4658"/>
    <w:rsid w:val="001D4A42"/>
    <w:rsid w:val="001D5680"/>
    <w:rsid w:val="001D5D75"/>
    <w:rsid w:val="001D61EA"/>
    <w:rsid w:val="001D640A"/>
    <w:rsid w:val="001D7290"/>
    <w:rsid w:val="001D7B3D"/>
    <w:rsid w:val="001D7D52"/>
    <w:rsid w:val="001E04F9"/>
    <w:rsid w:val="001E1934"/>
    <w:rsid w:val="001E1C71"/>
    <w:rsid w:val="001E2D8C"/>
    <w:rsid w:val="001E2D8D"/>
    <w:rsid w:val="001E4537"/>
    <w:rsid w:val="001E4EAB"/>
    <w:rsid w:val="001E67B3"/>
    <w:rsid w:val="001E7CC8"/>
    <w:rsid w:val="001F08D4"/>
    <w:rsid w:val="001F0E72"/>
    <w:rsid w:val="001F17A3"/>
    <w:rsid w:val="001F181B"/>
    <w:rsid w:val="001F254C"/>
    <w:rsid w:val="001F3783"/>
    <w:rsid w:val="001F42D0"/>
    <w:rsid w:val="001F47B7"/>
    <w:rsid w:val="001F4802"/>
    <w:rsid w:val="001F49D0"/>
    <w:rsid w:val="001F505A"/>
    <w:rsid w:val="001F582E"/>
    <w:rsid w:val="001F5B20"/>
    <w:rsid w:val="001F6A5E"/>
    <w:rsid w:val="001F6D42"/>
    <w:rsid w:val="001F7ACE"/>
    <w:rsid w:val="001F7BBF"/>
    <w:rsid w:val="00200E5E"/>
    <w:rsid w:val="002020F0"/>
    <w:rsid w:val="002021D2"/>
    <w:rsid w:val="00202B54"/>
    <w:rsid w:val="00203B2A"/>
    <w:rsid w:val="002048DD"/>
    <w:rsid w:val="00204E15"/>
    <w:rsid w:val="00205799"/>
    <w:rsid w:val="00205895"/>
    <w:rsid w:val="00205F49"/>
    <w:rsid w:val="00206F7E"/>
    <w:rsid w:val="00207420"/>
    <w:rsid w:val="00207611"/>
    <w:rsid w:val="00210BE7"/>
    <w:rsid w:val="00211E1C"/>
    <w:rsid w:val="00212098"/>
    <w:rsid w:val="00214DF1"/>
    <w:rsid w:val="00215070"/>
    <w:rsid w:val="00215391"/>
    <w:rsid w:val="002155E9"/>
    <w:rsid w:val="002157DF"/>
    <w:rsid w:val="00215D8E"/>
    <w:rsid w:val="00216155"/>
    <w:rsid w:val="0021619A"/>
    <w:rsid w:val="00216CEA"/>
    <w:rsid w:val="00220502"/>
    <w:rsid w:val="00220C11"/>
    <w:rsid w:val="002226E3"/>
    <w:rsid w:val="00222BB7"/>
    <w:rsid w:val="00223DBB"/>
    <w:rsid w:val="00224151"/>
    <w:rsid w:val="0022464A"/>
    <w:rsid w:val="0022490E"/>
    <w:rsid w:val="00225673"/>
    <w:rsid w:val="00225A4C"/>
    <w:rsid w:val="00225CEB"/>
    <w:rsid w:val="0022680B"/>
    <w:rsid w:val="00227334"/>
    <w:rsid w:val="00227A5A"/>
    <w:rsid w:val="002312F3"/>
    <w:rsid w:val="00231C3E"/>
    <w:rsid w:val="00232808"/>
    <w:rsid w:val="00233057"/>
    <w:rsid w:val="002334E1"/>
    <w:rsid w:val="00233622"/>
    <w:rsid w:val="00233D8E"/>
    <w:rsid w:val="00234AD5"/>
    <w:rsid w:val="00234DFC"/>
    <w:rsid w:val="002350FD"/>
    <w:rsid w:val="00235F52"/>
    <w:rsid w:val="002372BA"/>
    <w:rsid w:val="00237FFA"/>
    <w:rsid w:val="00241563"/>
    <w:rsid w:val="00241C3B"/>
    <w:rsid w:val="00242418"/>
    <w:rsid w:val="00243A8D"/>
    <w:rsid w:val="00244B19"/>
    <w:rsid w:val="00245667"/>
    <w:rsid w:val="00245FFB"/>
    <w:rsid w:val="0024704C"/>
    <w:rsid w:val="002501B4"/>
    <w:rsid w:val="002505E6"/>
    <w:rsid w:val="00252E9F"/>
    <w:rsid w:val="0025323F"/>
    <w:rsid w:val="00253612"/>
    <w:rsid w:val="00253928"/>
    <w:rsid w:val="002541B0"/>
    <w:rsid w:val="00257111"/>
    <w:rsid w:val="002614BF"/>
    <w:rsid w:val="002626B2"/>
    <w:rsid w:val="0026430D"/>
    <w:rsid w:val="00264A86"/>
    <w:rsid w:val="002657D3"/>
    <w:rsid w:val="002668A2"/>
    <w:rsid w:val="002673AD"/>
    <w:rsid w:val="00267707"/>
    <w:rsid w:val="002677F6"/>
    <w:rsid w:val="00267E85"/>
    <w:rsid w:val="00271EF8"/>
    <w:rsid w:val="002722B6"/>
    <w:rsid w:val="00272C28"/>
    <w:rsid w:val="00273BDD"/>
    <w:rsid w:val="00274B1A"/>
    <w:rsid w:val="00275284"/>
    <w:rsid w:val="00276375"/>
    <w:rsid w:val="002764FA"/>
    <w:rsid w:val="0028001A"/>
    <w:rsid w:val="00281577"/>
    <w:rsid w:val="002819F2"/>
    <w:rsid w:val="00281FD6"/>
    <w:rsid w:val="002829B1"/>
    <w:rsid w:val="002835B2"/>
    <w:rsid w:val="0028527F"/>
    <w:rsid w:val="00285705"/>
    <w:rsid w:val="00286327"/>
    <w:rsid w:val="002866C5"/>
    <w:rsid w:val="00287B8B"/>
    <w:rsid w:val="00291840"/>
    <w:rsid w:val="002927D0"/>
    <w:rsid w:val="002952E1"/>
    <w:rsid w:val="00295751"/>
    <w:rsid w:val="00296DDA"/>
    <w:rsid w:val="00297550"/>
    <w:rsid w:val="002A0102"/>
    <w:rsid w:val="002A247C"/>
    <w:rsid w:val="002A25A0"/>
    <w:rsid w:val="002A2780"/>
    <w:rsid w:val="002A2CB4"/>
    <w:rsid w:val="002A458D"/>
    <w:rsid w:val="002A5483"/>
    <w:rsid w:val="002A6479"/>
    <w:rsid w:val="002B437E"/>
    <w:rsid w:val="002B6C18"/>
    <w:rsid w:val="002B760A"/>
    <w:rsid w:val="002C0533"/>
    <w:rsid w:val="002C164D"/>
    <w:rsid w:val="002C24FB"/>
    <w:rsid w:val="002C2B1D"/>
    <w:rsid w:val="002C3C8D"/>
    <w:rsid w:val="002C4758"/>
    <w:rsid w:val="002C53C8"/>
    <w:rsid w:val="002C6CBE"/>
    <w:rsid w:val="002C7481"/>
    <w:rsid w:val="002D0533"/>
    <w:rsid w:val="002D0D76"/>
    <w:rsid w:val="002D1358"/>
    <w:rsid w:val="002D153F"/>
    <w:rsid w:val="002D1C09"/>
    <w:rsid w:val="002D2BBA"/>
    <w:rsid w:val="002D4CD9"/>
    <w:rsid w:val="002D6003"/>
    <w:rsid w:val="002E0333"/>
    <w:rsid w:val="002E0BEA"/>
    <w:rsid w:val="002E1E69"/>
    <w:rsid w:val="002E41E8"/>
    <w:rsid w:val="002E5E51"/>
    <w:rsid w:val="002E6C03"/>
    <w:rsid w:val="002E72DE"/>
    <w:rsid w:val="002E7BB5"/>
    <w:rsid w:val="002E7FF4"/>
    <w:rsid w:val="002F1FD4"/>
    <w:rsid w:val="002F3C7E"/>
    <w:rsid w:val="002F4F4B"/>
    <w:rsid w:val="002F5EF0"/>
    <w:rsid w:val="002F6EDE"/>
    <w:rsid w:val="002F720C"/>
    <w:rsid w:val="002F7C8F"/>
    <w:rsid w:val="00300167"/>
    <w:rsid w:val="00300CA1"/>
    <w:rsid w:val="003011E8"/>
    <w:rsid w:val="00302696"/>
    <w:rsid w:val="00302DA6"/>
    <w:rsid w:val="003040CE"/>
    <w:rsid w:val="0030420E"/>
    <w:rsid w:val="00304D82"/>
    <w:rsid w:val="00306388"/>
    <w:rsid w:val="0030672B"/>
    <w:rsid w:val="0030742C"/>
    <w:rsid w:val="00310B00"/>
    <w:rsid w:val="00310CA8"/>
    <w:rsid w:val="0031146E"/>
    <w:rsid w:val="00311B70"/>
    <w:rsid w:val="00311EDD"/>
    <w:rsid w:val="00312A33"/>
    <w:rsid w:val="00313678"/>
    <w:rsid w:val="00315455"/>
    <w:rsid w:val="0031552A"/>
    <w:rsid w:val="00317B97"/>
    <w:rsid w:val="003208E7"/>
    <w:rsid w:val="00320D9C"/>
    <w:rsid w:val="00321F20"/>
    <w:rsid w:val="003226F2"/>
    <w:rsid w:val="00322B1B"/>
    <w:rsid w:val="00323EF3"/>
    <w:rsid w:val="00325C65"/>
    <w:rsid w:val="0032647B"/>
    <w:rsid w:val="003264E4"/>
    <w:rsid w:val="00330519"/>
    <w:rsid w:val="003312C8"/>
    <w:rsid w:val="003318F9"/>
    <w:rsid w:val="00331BF1"/>
    <w:rsid w:val="003322CA"/>
    <w:rsid w:val="00332F64"/>
    <w:rsid w:val="0033338D"/>
    <w:rsid w:val="003337E6"/>
    <w:rsid w:val="0033510A"/>
    <w:rsid w:val="00335983"/>
    <w:rsid w:val="00335EFC"/>
    <w:rsid w:val="00336573"/>
    <w:rsid w:val="003379E1"/>
    <w:rsid w:val="003404F8"/>
    <w:rsid w:val="00342115"/>
    <w:rsid w:val="00343250"/>
    <w:rsid w:val="00343A18"/>
    <w:rsid w:val="00343C8C"/>
    <w:rsid w:val="00344256"/>
    <w:rsid w:val="003443A9"/>
    <w:rsid w:val="00344F54"/>
    <w:rsid w:val="00344FEA"/>
    <w:rsid w:val="00346632"/>
    <w:rsid w:val="00346E38"/>
    <w:rsid w:val="00346E89"/>
    <w:rsid w:val="00347745"/>
    <w:rsid w:val="00347CCC"/>
    <w:rsid w:val="00351467"/>
    <w:rsid w:val="00351C2C"/>
    <w:rsid w:val="00352968"/>
    <w:rsid w:val="00353533"/>
    <w:rsid w:val="00353916"/>
    <w:rsid w:val="00355BD4"/>
    <w:rsid w:val="00356A0E"/>
    <w:rsid w:val="00361EA7"/>
    <w:rsid w:val="00361F0C"/>
    <w:rsid w:val="0036585F"/>
    <w:rsid w:val="00365D88"/>
    <w:rsid w:val="00367B55"/>
    <w:rsid w:val="0037040B"/>
    <w:rsid w:val="0037147F"/>
    <w:rsid w:val="0037179A"/>
    <w:rsid w:val="00371C70"/>
    <w:rsid w:val="003737A9"/>
    <w:rsid w:val="003748EE"/>
    <w:rsid w:val="00380733"/>
    <w:rsid w:val="00382414"/>
    <w:rsid w:val="00382569"/>
    <w:rsid w:val="00382C82"/>
    <w:rsid w:val="003855C1"/>
    <w:rsid w:val="003863F4"/>
    <w:rsid w:val="00386724"/>
    <w:rsid w:val="00387CA3"/>
    <w:rsid w:val="00390254"/>
    <w:rsid w:val="00390C73"/>
    <w:rsid w:val="00390EE4"/>
    <w:rsid w:val="003915B3"/>
    <w:rsid w:val="00391940"/>
    <w:rsid w:val="00391E57"/>
    <w:rsid w:val="00392C0D"/>
    <w:rsid w:val="00393440"/>
    <w:rsid w:val="00393E3F"/>
    <w:rsid w:val="0039414F"/>
    <w:rsid w:val="00394714"/>
    <w:rsid w:val="00394C57"/>
    <w:rsid w:val="003964CA"/>
    <w:rsid w:val="00396C2C"/>
    <w:rsid w:val="0039729F"/>
    <w:rsid w:val="003A0741"/>
    <w:rsid w:val="003A08C2"/>
    <w:rsid w:val="003A0AB0"/>
    <w:rsid w:val="003A1015"/>
    <w:rsid w:val="003A17D2"/>
    <w:rsid w:val="003A18E7"/>
    <w:rsid w:val="003A2D7C"/>
    <w:rsid w:val="003A334E"/>
    <w:rsid w:val="003A4E50"/>
    <w:rsid w:val="003A51A2"/>
    <w:rsid w:val="003A6A29"/>
    <w:rsid w:val="003A7017"/>
    <w:rsid w:val="003A7146"/>
    <w:rsid w:val="003A7724"/>
    <w:rsid w:val="003A7BD1"/>
    <w:rsid w:val="003B121E"/>
    <w:rsid w:val="003B1656"/>
    <w:rsid w:val="003B24DA"/>
    <w:rsid w:val="003B27FE"/>
    <w:rsid w:val="003B30B5"/>
    <w:rsid w:val="003B30D2"/>
    <w:rsid w:val="003B31FD"/>
    <w:rsid w:val="003B443F"/>
    <w:rsid w:val="003B689C"/>
    <w:rsid w:val="003B7021"/>
    <w:rsid w:val="003B7595"/>
    <w:rsid w:val="003B7AD4"/>
    <w:rsid w:val="003C11BF"/>
    <w:rsid w:val="003C1B10"/>
    <w:rsid w:val="003C2DBC"/>
    <w:rsid w:val="003C2E3A"/>
    <w:rsid w:val="003C2FDA"/>
    <w:rsid w:val="003C4BC9"/>
    <w:rsid w:val="003C7B56"/>
    <w:rsid w:val="003D007C"/>
    <w:rsid w:val="003D009B"/>
    <w:rsid w:val="003D0DB8"/>
    <w:rsid w:val="003D2EF0"/>
    <w:rsid w:val="003D391C"/>
    <w:rsid w:val="003D487A"/>
    <w:rsid w:val="003D4963"/>
    <w:rsid w:val="003D584F"/>
    <w:rsid w:val="003D6234"/>
    <w:rsid w:val="003D66D2"/>
    <w:rsid w:val="003D6A05"/>
    <w:rsid w:val="003D6E05"/>
    <w:rsid w:val="003D7195"/>
    <w:rsid w:val="003D7369"/>
    <w:rsid w:val="003D7A97"/>
    <w:rsid w:val="003D7B7A"/>
    <w:rsid w:val="003E099B"/>
    <w:rsid w:val="003E15F0"/>
    <w:rsid w:val="003E2EFF"/>
    <w:rsid w:val="003E2FFB"/>
    <w:rsid w:val="003E3754"/>
    <w:rsid w:val="003E3FF1"/>
    <w:rsid w:val="003E45C9"/>
    <w:rsid w:val="003E541A"/>
    <w:rsid w:val="003E6C4E"/>
    <w:rsid w:val="003E76B3"/>
    <w:rsid w:val="003F04D9"/>
    <w:rsid w:val="003F1246"/>
    <w:rsid w:val="003F1DBE"/>
    <w:rsid w:val="003F2A25"/>
    <w:rsid w:val="003F38C9"/>
    <w:rsid w:val="003F3DB6"/>
    <w:rsid w:val="003F4FF8"/>
    <w:rsid w:val="003F6B8F"/>
    <w:rsid w:val="003F73D8"/>
    <w:rsid w:val="00402658"/>
    <w:rsid w:val="0040290A"/>
    <w:rsid w:val="00404D83"/>
    <w:rsid w:val="0040598E"/>
    <w:rsid w:val="00406137"/>
    <w:rsid w:val="00406BF9"/>
    <w:rsid w:val="0041000D"/>
    <w:rsid w:val="00410B73"/>
    <w:rsid w:val="004115C5"/>
    <w:rsid w:val="00411BDB"/>
    <w:rsid w:val="004128F4"/>
    <w:rsid w:val="0041654F"/>
    <w:rsid w:val="00420843"/>
    <w:rsid w:val="00421B96"/>
    <w:rsid w:val="004229F9"/>
    <w:rsid w:val="00423AD1"/>
    <w:rsid w:val="0042405B"/>
    <w:rsid w:val="0042478C"/>
    <w:rsid w:val="00424BA6"/>
    <w:rsid w:val="004257CD"/>
    <w:rsid w:val="00425A87"/>
    <w:rsid w:val="004261F6"/>
    <w:rsid w:val="00426E49"/>
    <w:rsid w:val="00427C6C"/>
    <w:rsid w:val="00433759"/>
    <w:rsid w:val="00434ADD"/>
    <w:rsid w:val="004358D0"/>
    <w:rsid w:val="00435AC1"/>
    <w:rsid w:val="00435F8D"/>
    <w:rsid w:val="0043699A"/>
    <w:rsid w:val="00437EC7"/>
    <w:rsid w:val="0044075E"/>
    <w:rsid w:val="00444A39"/>
    <w:rsid w:val="00444B61"/>
    <w:rsid w:val="00444CE2"/>
    <w:rsid w:val="00445EEF"/>
    <w:rsid w:val="00446272"/>
    <w:rsid w:val="004467A7"/>
    <w:rsid w:val="004478AB"/>
    <w:rsid w:val="0045036C"/>
    <w:rsid w:val="00450E48"/>
    <w:rsid w:val="004528AB"/>
    <w:rsid w:val="00454CAB"/>
    <w:rsid w:val="0045660E"/>
    <w:rsid w:val="00456C72"/>
    <w:rsid w:val="00461C93"/>
    <w:rsid w:val="00461FF7"/>
    <w:rsid w:val="00464AB3"/>
    <w:rsid w:val="00466E26"/>
    <w:rsid w:val="00470592"/>
    <w:rsid w:val="004706DA"/>
    <w:rsid w:val="00470DD5"/>
    <w:rsid w:val="0047106C"/>
    <w:rsid w:val="00471CFB"/>
    <w:rsid w:val="004733CA"/>
    <w:rsid w:val="00473942"/>
    <w:rsid w:val="004740EF"/>
    <w:rsid w:val="00474585"/>
    <w:rsid w:val="00475926"/>
    <w:rsid w:val="00476DD5"/>
    <w:rsid w:val="004775F3"/>
    <w:rsid w:val="00480F78"/>
    <w:rsid w:val="004827D0"/>
    <w:rsid w:val="00483019"/>
    <w:rsid w:val="00483266"/>
    <w:rsid w:val="00483D72"/>
    <w:rsid w:val="00485193"/>
    <w:rsid w:val="004862F2"/>
    <w:rsid w:val="00490BE6"/>
    <w:rsid w:val="00491D7F"/>
    <w:rsid w:val="00492ABF"/>
    <w:rsid w:val="00492D11"/>
    <w:rsid w:val="00493897"/>
    <w:rsid w:val="0049410B"/>
    <w:rsid w:val="0049460A"/>
    <w:rsid w:val="00494C72"/>
    <w:rsid w:val="00496397"/>
    <w:rsid w:val="00496D2D"/>
    <w:rsid w:val="00497107"/>
    <w:rsid w:val="00497659"/>
    <w:rsid w:val="00497F54"/>
    <w:rsid w:val="004A01A5"/>
    <w:rsid w:val="004A1895"/>
    <w:rsid w:val="004A1D6E"/>
    <w:rsid w:val="004A2C46"/>
    <w:rsid w:val="004A486A"/>
    <w:rsid w:val="004A5C17"/>
    <w:rsid w:val="004A64BC"/>
    <w:rsid w:val="004B283D"/>
    <w:rsid w:val="004B2C34"/>
    <w:rsid w:val="004B5195"/>
    <w:rsid w:val="004B7568"/>
    <w:rsid w:val="004B7746"/>
    <w:rsid w:val="004B78D3"/>
    <w:rsid w:val="004B7DF0"/>
    <w:rsid w:val="004C10B1"/>
    <w:rsid w:val="004C2FCD"/>
    <w:rsid w:val="004C3031"/>
    <w:rsid w:val="004C35F6"/>
    <w:rsid w:val="004C3957"/>
    <w:rsid w:val="004C3C43"/>
    <w:rsid w:val="004C54A1"/>
    <w:rsid w:val="004C59B1"/>
    <w:rsid w:val="004C6CDC"/>
    <w:rsid w:val="004C7195"/>
    <w:rsid w:val="004D0069"/>
    <w:rsid w:val="004D07D7"/>
    <w:rsid w:val="004D1B6E"/>
    <w:rsid w:val="004D229C"/>
    <w:rsid w:val="004D37E0"/>
    <w:rsid w:val="004D3DB9"/>
    <w:rsid w:val="004D4266"/>
    <w:rsid w:val="004D458B"/>
    <w:rsid w:val="004D49D5"/>
    <w:rsid w:val="004D5D0E"/>
    <w:rsid w:val="004D702F"/>
    <w:rsid w:val="004D779A"/>
    <w:rsid w:val="004E08AF"/>
    <w:rsid w:val="004E30B8"/>
    <w:rsid w:val="004E33D8"/>
    <w:rsid w:val="004E387E"/>
    <w:rsid w:val="004E4D75"/>
    <w:rsid w:val="004E60D0"/>
    <w:rsid w:val="004E7142"/>
    <w:rsid w:val="004E7D93"/>
    <w:rsid w:val="004F074A"/>
    <w:rsid w:val="004F3EF4"/>
    <w:rsid w:val="004F403F"/>
    <w:rsid w:val="004F4C45"/>
    <w:rsid w:val="004F4D04"/>
    <w:rsid w:val="004F57F8"/>
    <w:rsid w:val="004F65BE"/>
    <w:rsid w:val="00500023"/>
    <w:rsid w:val="00501345"/>
    <w:rsid w:val="00501805"/>
    <w:rsid w:val="00502080"/>
    <w:rsid w:val="005023E0"/>
    <w:rsid w:val="00502E10"/>
    <w:rsid w:val="00503ADA"/>
    <w:rsid w:val="00503D95"/>
    <w:rsid w:val="005042F2"/>
    <w:rsid w:val="00504F30"/>
    <w:rsid w:val="00506E04"/>
    <w:rsid w:val="0050756C"/>
    <w:rsid w:val="00507E3C"/>
    <w:rsid w:val="005107F0"/>
    <w:rsid w:val="00510D31"/>
    <w:rsid w:val="005118DE"/>
    <w:rsid w:val="00511E29"/>
    <w:rsid w:val="00512033"/>
    <w:rsid w:val="00513BAF"/>
    <w:rsid w:val="00513DE6"/>
    <w:rsid w:val="005147D7"/>
    <w:rsid w:val="0051658B"/>
    <w:rsid w:val="005208AB"/>
    <w:rsid w:val="00520A44"/>
    <w:rsid w:val="00520DE0"/>
    <w:rsid w:val="00523ACA"/>
    <w:rsid w:val="00525238"/>
    <w:rsid w:val="0052747C"/>
    <w:rsid w:val="00531025"/>
    <w:rsid w:val="005310C9"/>
    <w:rsid w:val="0053300E"/>
    <w:rsid w:val="00533393"/>
    <w:rsid w:val="00535748"/>
    <w:rsid w:val="00535E9C"/>
    <w:rsid w:val="00536308"/>
    <w:rsid w:val="005373A7"/>
    <w:rsid w:val="00537C10"/>
    <w:rsid w:val="00540502"/>
    <w:rsid w:val="0054076E"/>
    <w:rsid w:val="005408E4"/>
    <w:rsid w:val="00540DEC"/>
    <w:rsid w:val="0054225C"/>
    <w:rsid w:val="00542360"/>
    <w:rsid w:val="00542906"/>
    <w:rsid w:val="00542A15"/>
    <w:rsid w:val="00543389"/>
    <w:rsid w:val="005436B3"/>
    <w:rsid w:val="005462C6"/>
    <w:rsid w:val="0054637E"/>
    <w:rsid w:val="005477A7"/>
    <w:rsid w:val="00547E14"/>
    <w:rsid w:val="0055040F"/>
    <w:rsid w:val="0055099E"/>
    <w:rsid w:val="00552F74"/>
    <w:rsid w:val="00552FA3"/>
    <w:rsid w:val="00553010"/>
    <w:rsid w:val="0056335C"/>
    <w:rsid w:val="00563FDA"/>
    <w:rsid w:val="00564426"/>
    <w:rsid w:val="00564A66"/>
    <w:rsid w:val="005651F5"/>
    <w:rsid w:val="00566B4C"/>
    <w:rsid w:val="00567103"/>
    <w:rsid w:val="0057009E"/>
    <w:rsid w:val="005714B5"/>
    <w:rsid w:val="005759F7"/>
    <w:rsid w:val="00575CD0"/>
    <w:rsid w:val="00576706"/>
    <w:rsid w:val="00576731"/>
    <w:rsid w:val="005768BF"/>
    <w:rsid w:val="00580601"/>
    <w:rsid w:val="0058130A"/>
    <w:rsid w:val="00584C37"/>
    <w:rsid w:val="005851D7"/>
    <w:rsid w:val="00585803"/>
    <w:rsid w:val="00585BC5"/>
    <w:rsid w:val="00586796"/>
    <w:rsid w:val="005904A2"/>
    <w:rsid w:val="00590CB3"/>
    <w:rsid w:val="00591783"/>
    <w:rsid w:val="0059227D"/>
    <w:rsid w:val="005923D1"/>
    <w:rsid w:val="00593B7A"/>
    <w:rsid w:val="00594487"/>
    <w:rsid w:val="005946A1"/>
    <w:rsid w:val="00594A34"/>
    <w:rsid w:val="005954ED"/>
    <w:rsid w:val="00597466"/>
    <w:rsid w:val="00597536"/>
    <w:rsid w:val="005A00E6"/>
    <w:rsid w:val="005A0D00"/>
    <w:rsid w:val="005A4857"/>
    <w:rsid w:val="005A67B9"/>
    <w:rsid w:val="005B1696"/>
    <w:rsid w:val="005B1CB2"/>
    <w:rsid w:val="005B486D"/>
    <w:rsid w:val="005B64BA"/>
    <w:rsid w:val="005B77A3"/>
    <w:rsid w:val="005C0114"/>
    <w:rsid w:val="005C1A53"/>
    <w:rsid w:val="005C1E0E"/>
    <w:rsid w:val="005C2749"/>
    <w:rsid w:val="005C327C"/>
    <w:rsid w:val="005C3D0C"/>
    <w:rsid w:val="005C41D0"/>
    <w:rsid w:val="005C53F5"/>
    <w:rsid w:val="005C7172"/>
    <w:rsid w:val="005C7905"/>
    <w:rsid w:val="005C7BE0"/>
    <w:rsid w:val="005D044F"/>
    <w:rsid w:val="005D1ED1"/>
    <w:rsid w:val="005D23A9"/>
    <w:rsid w:val="005D3962"/>
    <w:rsid w:val="005D3A04"/>
    <w:rsid w:val="005D4EFA"/>
    <w:rsid w:val="005D5796"/>
    <w:rsid w:val="005D5966"/>
    <w:rsid w:val="005D7082"/>
    <w:rsid w:val="005D714E"/>
    <w:rsid w:val="005D779B"/>
    <w:rsid w:val="005D7931"/>
    <w:rsid w:val="005E1249"/>
    <w:rsid w:val="005E15CF"/>
    <w:rsid w:val="005E16F6"/>
    <w:rsid w:val="005E1F9D"/>
    <w:rsid w:val="005E2366"/>
    <w:rsid w:val="005E35AA"/>
    <w:rsid w:val="005E5822"/>
    <w:rsid w:val="005E6451"/>
    <w:rsid w:val="005E6649"/>
    <w:rsid w:val="005F02A0"/>
    <w:rsid w:val="005F0A84"/>
    <w:rsid w:val="005F0E97"/>
    <w:rsid w:val="005F1B99"/>
    <w:rsid w:val="005F26BB"/>
    <w:rsid w:val="005F2B5B"/>
    <w:rsid w:val="005F387E"/>
    <w:rsid w:val="005F3C63"/>
    <w:rsid w:val="005F47D0"/>
    <w:rsid w:val="005F6EE3"/>
    <w:rsid w:val="006002FA"/>
    <w:rsid w:val="006003FB"/>
    <w:rsid w:val="006005B7"/>
    <w:rsid w:val="0060060E"/>
    <w:rsid w:val="00601768"/>
    <w:rsid w:val="0060319D"/>
    <w:rsid w:val="00604845"/>
    <w:rsid w:val="006059DA"/>
    <w:rsid w:val="00605B01"/>
    <w:rsid w:val="0060650B"/>
    <w:rsid w:val="006158C5"/>
    <w:rsid w:val="0061668A"/>
    <w:rsid w:val="00617359"/>
    <w:rsid w:val="00617863"/>
    <w:rsid w:val="00617896"/>
    <w:rsid w:val="006220FA"/>
    <w:rsid w:val="0062224C"/>
    <w:rsid w:val="0062237B"/>
    <w:rsid w:val="00622B37"/>
    <w:rsid w:val="006231BF"/>
    <w:rsid w:val="006239F0"/>
    <w:rsid w:val="00624639"/>
    <w:rsid w:val="00624A72"/>
    <w:rsid w:val="006255AF"/>
    <w:rsid w:val="00626276"/>
    <w:rsid w:val="00626A21"/>
    <w:rsid w:val="006303C5"/>
    <w:rsid w:val="006308F5"/>
    <w:rsid w:val="00631E10"/>
    <w:rsid w:val="00633F10"/>
    <w:rsid w:val="00636354"/>
    <w:rsid w:val="00636390"/>
    <w:rsid w:val="0063659B"/>
    <w:rsid w:val="00637873"/>
    <w:rsid w:val="0064085D"/>
    <w:rsid w:val="00642174"/>
    <w:rsid w:val="00642CBE"/>
    <w:rsid w:val="006441EA"/>
    <w:rsid w:val="00645BA8"/>
    <w:rsid w:val="0064662F"/>
    <w:rsid w:val="00650A6B"/>
    <w:rsid w:val="0065165A"/>
    <w:rsid w:val="00651F82"/>
    <w:rsid w:val="0065224A"/>
    <w:rsid w:val="0065237E"/>
    <w:rsid w:val="006529FC"/>
    <w:rsid w:val="0065504F"/>
    <w:rsid w:val="00655C7C"/>
    <w:rsid w:val="00657009"/>
    <w:rsid w:val="00660270"/>
    <w:rsid w:val="00660BEB"/>
    <w:rsid w:val="00661136"/>
    <w:rsid w:val="0066120D"/>
    <w:rsid w:val="006612DA"/>
    <w:rsid w:val="00661CDD"/>
    <w:rsid w:val="00662BAA"/>
    <w:rsid w:val="00663380"/>
    <w:rsid w:val="00665927"/>
    <w:rsid w:val="00667A02"/>
    <w:rsid w:val="00667CED"/>
    <w:rsid w:val="0067057E"/>
    <w:rsid w:val="00670CB5"/>
    <w:rsid w:val="00670D55"/>
    <w:rsid w:val="00671FC7"/>
    <w:rsid w:val="006722B5"/>
    <w:rsid w:val="0067241A"/>
    <w:rsid w:val="00673F1E"/>
    <w:rsid w:val="00675545"/>
    <w:rsid w:val="006762FC"/>
    <w:rsid w:val="00676EA6"/>
    <w:rsid w:val="00681926"/>
    <w:rsid w:val="006819B8"/>
    <w:rsid w:val="0068228B"/>
    <w:rsid w:val="006835E8"/>
    <w:rsid w:val="0068385B"/>
    <w:rsid w:val="006839FF"/>
    <w:rsid w:val="0068454A"/>
    <w:rsid w:val="00684D66"/>
    <w:rsid w:val="00685AAA"/>
    <w:rsid w:val="006933B2"/>
    <w:rsid w:val="00693C6A"/>
    <w:rsid w:val="006946AF"/>
    <w:rsid w:val="006947D2"/>
    <w:rsid w:val="00694B45"/>
    <w:rsid w:val="00694EFA"/>
    <w:rsid w:val="0069535B"/>
    <w:rsid w:val="006967D1"/>
    <w:rsid w:val="00696FA1"/>
    <w:rsid w:val="006973DB"/>
    <w:rsid w:val="006976DD"/>
    <w:rsid w:val="006A0D32"/>
    <w:rsid w:val="006A0DFC"/>
    <w:rsid w:val="006A1787"/>
    <w:rsid w:val="006A1CEB"/>
    <w:rsid w:val="006A252E"/>
    <w:rsid w:val="006A289A"/>
    <w:rsid w:val="006A483B"/>
    <w:rsid w:val="006A4E34"/>
    <w:rsid w:val="006A6530"/>
    <w:rsid w:val="006A6A73"/>
    <w:rsid w:val="006A772F"/>
    <w:rsid w:val="006A7896"/>
    <w:rsid w:val="006B285E"/>
    <w:rsid w:val="006B3174"/>
    <w:rsid w:val="006B430C"/>
    <w:rsid w:val="006B4845"/>
    <w:rsid w:val="006B79B5"/>
    <w:rsid w:val="006C040B"/>
    <w:rsid w:val="006C13FE"/>
    <w:rsid w:val="006C1411"/>
    <w:rsid w:val="006C1892"/>
    <w:rsid w:val="006C1F03"/>
    <w:rsid w:val="006C261B"/>
    <w:rsid w:val="006C2996"/>
    <w:rsid w:val="006C36C5"/>
    <w:rsid w:val="006C56D8"/>
    <w:rsid w:val="006C6A0A"/>
    <w:rsid w:val="006D0412"/>
    <w:rsid w:val="006D09B5"/>
    <w:rsid w:val="006D0D60"/>
    <w:rsid w:val="006D111F"/>
    <w:rsid w:val="006D12C2"/>
    <w:rsid w:val="006D1349"/>
    <w:rsid w:val="006D1EE7"/>
    <w:rsid w:val="006D2F7D"/>
    <w:rsid w:val="006D3931"/>
    <w:rsid w:val="006D44EF"/>
    <w:rsid w:val="006D4B8D"/>
    <w:rsid w:val="006D5964"/>
    <w:rsid w:val="006D6BCF"/>
    <w:rsid w:val="006D7D7F"/>
    <w:rsid w:val="006E19A4"/>
    <w:rsid w:val="006E1BFB"/>
    <w:rsid w:val="006E1D7A"/>
    <w:rsid w:val="006E26CF"/>
    <w:rsid w:val="006E2F22"/>
    <w:rsid w:val="006E3B7A"/>
    <w:rsid w:val="006E4521"/>
    <w:rsid w:val="006E4C3D"/>
    <w:rsid w:val="006E58FE"/>
    <w:rsid w:val="006E707B"/>
    <w:rsid w:val="006E7142"/>
    <w:rsid w:val="006F3D98"/>
    <w:rsid w:val="006F4309"/>
    <w:rsid w:val="006F53F1"/>
    <w:rsid w:val="006F60CA"/>
    <w:rsid w:val="006F663F"/>
    <w:rsid w:val="006F68E2"/>
    <w:rsid w:val="006F6B1F"/>
    <w:rsid w:val="006F6BD6"/>
    <w:rsid w:val="007006A3"/>
    <w:rsid w:val="007019FB"/>
    <w:rsid w:val="00701B21"/>
    <w:rsid w:val="00702B1F"/>
    <w:rsid w:val="00702EE3"/>
    <w:rsid w:val="007030BE"/>
    <w:rsid w:val="00703B82"/>
    <w:rsid w:val="007048A7"/>
    <w:rsid w:val="00704DF1"/>
    <w:rsid w:val="007056D1"/>
    <w:rsid w:val="00705EDD"/>
    <w:rsid w:val="00707403"/>
    <w:rsid w:val="007102E3"/>
    <w:rsid w:val="00711A1F"/>
    <w:rsid w:val="00711D5A"/>
    <w:rsid w:val="00711F17"/>
    <w:rsid w:val="00712EE6"/>
    <w:rsid w:val="00714EF4"/>
    <w:rsid w:val="00715251"/>
    <w:rsid w:val="007161FA"/>
    <w:rsid w:val="0072179E"/>
    <w:rsid w:val="00722284"/>
    <w:rsid w:val="00723336"/>
    <w:rsid w:val="00723988"/>
    <w:rsid w:val="00724704"/>
    <w:rsid w:val="00727B42"/>
    <w:rsid w:val="00731460"/>
    <w:rsid w:val="0073204A"/>
    <w:rsid w:val="00732895"/>
    <w:rsid w:val="007336DA"/>
    <w:rsid w:val="00733B2E"/>
    <w:rsid w:val="00735692"/>
    <w:rsid w:val="007360D9"/>
    <w:rsid w:val="00736DAF"/>
    <w:rsid w:val="007377C3"/>
    <w:rsid w:val="00737E8B"/>
    <w:rsid w:val="0074040E"/>
    <w:rsid w:val="00740494"/>
    <w:rsid w:val="00742107"/>
    <w:rsid w:val="00742ABF"/>
    <w:rsid w:val="007432C2"/>
    <w:rsid w:val="0074334C"/>
    <w:rsid w:val="0074408F"/>
    <w:rsid w:val="00745E04"/>
    <w:rsid w:val="00745E86"/>
    <w:rsid w:val="0074603B"/>
    <w:rsid w:val="007465FA"/>
    <w:rsid w:val="00746813"/>
    <w:rsid w:val="00747DF1"/>
    <w:rsid w:val="007505DC"/>
    <w:rsid w:val="00750CF5"/>
    <w:rsid w:val="00751852"/>
    <w:rsid w:val="007522A5"/>
    <w:rsid w:val="007527AF"/>
    <w:rsid w:val="00752803"/>
    <w:rsid w:val="00754210"/>
    <w:rsid w:val="0075453A"/>
    <w:rsid w:val="00754CA6"/>
    <w:rsid w:val="00754F08"/>
    <w:rsid w:val="0075527C"/>
    <w:rsid w:val="00755B43"/>
    <w:rsid w:val="00755CD0"/>
    <w:rsid w:val="0075617E"/>
    <w:rsid w:val="0075624A"/>
    <w:rsid w:val="00756456"/>
    <w:rsid w:val="0075686B"/>
    <w:rsid w:val="00757418"/>
    <w:rsid w:val="007604FB"/>
    <w:rsid w:val="00762EC6"/>
    <w:rsid w:val="007653E6"/>
    <w:rsid w:val="00766280"/>
    <w:rsid w:val="0076775E"/>
    <w:rsid w:val="00767ABE"/>
    <w:rsid w:val="00770EF8"/>
    <w:rsid w:val="007713E6"/>
    <w:rsid w:val="0077266C"/>
    <w:rsid w:val="00772CCC"/>
    <w:rsid w:val="00773928"/>
    <w:rsid w:val="0077479F"/>
    <w:rsid w:val="0077539A"/>
    <w:rsid w:val="00775E09"/>
    <w:rsid w:val="00777C77"/>
    <w:rsid w:val="007809D6"/>
    <w:rsid w:val="00780E7F"/>
    <w:rsid w:val="00783731"/>
    <w:rsid w:val="007843D9"/>
    <w:rsid w:val="00784A44"/>
    <w:rsid w:val="0078516D"/>
    <w:rsid w:val="00786300"/>
    <w:rsid w:val="00786309"/>
    <w:rsid w:val="00786B2A"/>
    <w:rsid w:val="00790220"/>
    <w:rsid w:val="00791CB7"/>
    <w:rsid w:val="00792EBD"/>
    <w:rsid w:val="00794153"/>
    <w:rsid w:val="007942FA"/>
    <w:rsid w:val="00795355"/>
    <w:rsid w:val="00795E35"/>
    <w:rsid w:val="0079662A"/>
    <w:rsid w:val="007974B6"/>
    <w:rsid w:val="007A06AD"/>
    <w:rsid w:val="007A14B8"/>
    <w:rsid w:val="007A2671"/>
    <w:rsid w:val="007A28A4"/>
    <w:rsid w:val="007A2C30"/>
    <w:rsid w:val="007A3374"/>
    <w:rsid w:val="007A3406"/>
    <w:rsid w:val="007A3C00"/>
    <w:rsid w:val="007A3C21"/>
    <w:rsid w:val="007A474C"/>
    <w:rsid w:val="007A589D"/>
    <w:rsid w:val="007A6870"/>
    <w:rsid w:val="007A69EF"/>
    <w:rsid w:val="007B289A"/>
    <w:rsid w:val="007B2AC8"/>
    <w:rsid w:val="007B4115"/>
    <w:rsid w:val="007B5424"/>
    <w:rsid w:val="007B70A7"/>
    <w:rsid w:val="007B76F5"/>
    <w:rsid w:val="007C0381"/>
    <w:rsid w:val="007C06B8"/>
    <w:rsid w:val="007C14EF"/>
    <w:rsid w:val="007C3E9D"/>
    <w:rsid w:val="007C4A3B"/>
    <w:rsid w:val="007C5165"/>
    <w:rsid w:val="007C61F7"/>
    <w:rsid w:val="007C672E"/>
    <w:rsid w:val="007D02B3"/>
    <w:rsid w:val="007D14E2"/>
    <w:rsid w:val="007D226C"/>
    <w:rsid w:val="007D29F2"/>
    <w:rsid w:val="007D364E"/>
    <w:rsid w:val="007D3891"/>
    <w:rsid w:val="007D7BAF"/>
    <w:rsid w:val="007D7F65"/>
    <w:rsid w:val="007E00A2"/>
    <w:rsid w:val="007E1A3B"/>
    <w:rsid w:val="007E29AA"/>
    <w:rsid w:val="007E2B68"/>
    <w:rsid w:val="007E2C09"/>
    <w:rsid w:val="007E32CF"/>
    <w:rsid w:val="007E37A5"/>
    <w:rsid w:val="007E486C"/>
    <w:rsid w:val="007E4BE2"/>
    <w:rsid w:val="007E57C0"/>
    <w:rsid w:val="007E60F5"/>
    <w:rsid w:val="007E6105"/>
    <w:rsid w:val="007E68C4"/>
    <w:rsid w:val="007E6B21"/>
    <w:rsid w:val="007E7BA4"/>
    <w:rsid w:val="007F00CB"/>
    <w:rsid w:val="007F0838"/>
    <w:rsid w:val="007F0866"/>
    <w:rsid w:val="007F0EDB"/>
    <w:rsid w:val="007F1A71"/>
    <w:rsid w:val="007F28AE"/>
    <w:rsid w:val="007F52BF"/>
    <w:rsid w:val="007F5A61"/>
    <w:rsid w:val="007F6B0A"/>
    <w:rsid w:val="008009D6"/>
    <w:rsid w:val="00802583"/>
    <w:rsid w:val="008027FD"/>
    <w:rsid w:val="008037B8"/>
    <w:rsid w:val="008037C9"/>
    <w:rsid w:val="00803BC1"/>
    <w:rsid w:val="00803C81"/>
    <w:rsid w:val="00806A93"/>
    <w:rsid w:val="008070DA"/>
    <w:rsid w:val="00807970"/>
    <w:rsid w:val="00810A46"/>
    <w:rsid w:val="00810F16"/>
    <w:rsid w:val="008115AC"/>
    <w:rsid w:val="0081190B"/>
    <w:rsid w:val="00811BB0"/>
    <w:rsid w:val="008128A1"/>
    <w:rsid w:val="0081404B"/>
    <w:rsid w:val="0081488A"/>
    <w:rsid w:val="008156D3"/>
    <w:rsid w:val="00815D6A"/>
    <w:rsid w:val="008161B6"/>
    <w:rsid w:val="008165E5"/>
    <w:rsid w:val="008169E3"/>
    <w:rsid w:val="00817822"/>
    <w:rsid w:val="0082054C"/>
    <w:rsid w:val="008211DB"/>
    <w:rsid w:val="00821A64"/>
    <w:rsid w:val="008227CF"/>
    <w:rsid w:val="0082336B"/>
    <w:rsid w:val="00825BE3"/>
    <w:rsid w:val="008300B6"/>
    <w:rsid w:val="008312E7"/>
    <w:rsid w:val="00833384"/>
    <w:rsid w:val="008349EB"/>
    <w:rsid w:val="008366FC"/>
    <w:rsid w:val="00836C79"/>
    <w:rsid w:val="008406BF"/>
    <w:rsid w:val="00841394"/>
    <w:rsid w:val="00841647"/>
    <w:rsid w:val="00845E53"/>
    <w:rsid w:val="00845FA5"/>
    <w:rsid w:val="0084703C"/>
    <w:rsid w:val="00847211"/>
    <w:rsid w:val="00847D92"/>
    <w:rsid w:val="00850475"/>
    <w:rsid w:val="00851520"/>
    <w:rsid w:val="008524B2"/>
    <w:rsid w:val="00852DFE"/>
    <w:rsid w:val="008532D2"/>
    <w:rsid w:val="0085678B"/>
    <w:rsid w:val="00860B1F"/>
    <w:rsid w:val="008618D9"/>
    <w:rsid w:val="00861CF6"/>
    <w:rsid w:val="008650E7"/>
    <w:rsid w:val="00866DEB"/>
    <w:rsid w:val="0087035D"/>
    <w:rsid w:val="00870428"/>
    <w:rsid w:val="00870C4A"/>
    <w:rsid w:val="00875763"/>
    <w:rsid w:val="008771C5"/>
    <w:rsid w:val="00880F7D"/>
    <w:rsid w:val="00881A64"/>
    <w:rsid w:val="00882289"/>
    <w:rsid w:val="00887410"/>
    <w:rsid w:val="0088761D"/>
    <w:rsid w:val="008919EA"/>
    <w:rsid w:val="00891EDD"/>
    <w:rsid w:val="00892B5E"/>
    <w:rsid w:val="00892CC9"/>
    <w:rsid w:val="00893151"/>
    <w:rsid w:val="00893FEC"/>
    <w:rsid w:val="00895328"/>
    <w:rsid w:val="00896ACC"/>
    <w:rsid w:val="008A038B"/>
    <w:rsid w:val="008A1BB1"/>
    <w:rsid w:val="008A4069"/>
    <w:rsid w:val="008A4E3B"/>
    <w:rsid w:val="008A609D"/>
    <w:rsid w:val="008A6106"/>
    <w:rsid w:val="008A63A2"/>
    <w:rsid w:val="008A6CCE"/>
    <w:rsid w:val="008A6DD8"/>
    <w:rsid w:val="008A7308"/>
    <w:rsid w:val="008A769A"/>
    <w:rsid w:val="008B3446"/>
    <w:rsid w:val="008B4C5D"/>
    <w:rsid w:val="008B5816"/>
    <w:rsid w:val="008C12F1"/>
    <w:rsid w:val="008C55A6"/>
    <w:rsid w:val="008C68C4"/>
    <w:rsid w:val="008D3FDE"/>
    <w:rsid w:val="008D4062"/>
    <w:rsid w:val="008D49F1"/>
    <w:rsid w:val="008D4EF1"/>
    <w:rsid w:val="008D5BF5"/>
    <w:rsid w:val="008D6610"/>
    <w:rsid w:val="008D7464"/>
    <w:rsid w:val="008D7CD6"/>
    <w:rsid w:val="008D7D26"/>
    <w:rsid w:val="008E11F0"/>
    <w:rsid w:val="008E2B76"/>
    <w:rsid w:val="008E2BC1"/>
    <w:rsid w:val="008E2BE8"/>
    <w:rsid w:val="008E2E77"/>
    <w:rsid w:val="008E35D8"/>
    <w:rsid w:val="008E4F47"/>
    <w:rsid w:val="008E6924"/>
    <w:rsid w:val="008E6C7A"/>
    <w:rsid w:val="008F073F"/>
    <w:rsid w:val="008F189D"/>
    <w:rsid w:val="008F2DC9"/>
    <w:rsid w:val="008F3110"/>
    <w:rsid w:val="008F3626"/>
    <w:rsid w:val="008F4372"/>
    <w:rsid w:val="008F54DD"/>
    <w:rsid w:val="008F63E9"/>
    <w:rsid w:val="008F69AE"/>
    <w:rsid w:val="008F6D60"/>
    <w:rsid w:val="008F778B"/>
    <w:rsid w:val="008F7BE8"/>
    <w:rsid w:val="00901A16"/>
    <w:rsid w:val="00901DFC"/>
    <w:rsid w:val="0090292E"/>
    <w:rsid w:val="00902BBD"/>
    <w:rsid w:val="009048D7"/>
    <w:rsid w:val="00906D27"/>
    <w:rsid w:val="0090707C"/>
    <w:rsid w:val="009129A5"/>
    <w:rsid w:val="009132DF"/>
    <w:rsid w:val="0091409A"/>
    <w:rsid w:val="00914465"/>
    <w:rsid w:val="00916C0E"/>
    <w:rsid w:val="009204D6"/>
    <w:rsid w:val="009212EF"/>
    <w:rsid w:val="00922997"/>
    <w:rsid w:val="009235AB"/>
    <w:rsid w:val="00924F64"/>
    <w:rsid w:val="00925172"/>
    <w:rsid w:val="009265A2"/>
    <w:rsid w:val="00930116"/>
    <w:rsid w:val="009306F6"/>
    <w:rsid w:val="00932693"/>
    <w:rsid w:val="00932BF8"/>
    <w:rsid w:val="009363DD"/>
    <w:rsid w:val="00936642"/>
    <w:rsid w:val="00940171"/>
    <w:rsid w:val="009421DF"/>
    <w:rsid w:val="009422D9"/>
    <w:rsid w:val="0094268E"/>
    <w:rsid w:val="00942CC9"/>
    <w:rsid w:val="00942E18"/>
    <w:rsid w:val="00942FF7"/>
    <w:rsid w:val="00943C4B"/>
    <w:rsid w:val="00943F42"/>
    <w:rsid w:val="00943FCA"/>
    <w:rsid w:val="00945180"/>
    <w:rsid w:val="00945658"/>
    <w:rsid w:val="00946D1A"/>
    <w:rsid w:val="00946E78"/>
    <w:rsid w:val="00947571"/>
    <w:rsid w:val="00947F6F"/>
    <w:rsid w:val="00950FA3"/>
    <w:rsid w:val="00953867"/>
    <w:rsid w:val="00953905"/>
    <w:rsid w:val="00953CEC"/>
    <w:rsid w:val="00954D24"/>
    <w:rsid w:val="00955E50"/>
    <w:rsid w:val="0095632E"/>
    <w:rsid w:val="00957C81"/>
    <w:rsid w:val="00960268"/>
    <w:rsid w:val="009606C2"/>
    <w:rsid w:val="009625D0"/>
    <w:rsid w:val="009627B8"/>
    <w:rsid w:val="009627EC"/>
    <w:rsid w:val="00962A7A"/>
    <w:rsid w:val="00963719"/>
    <w:rsid w:val="009641F8"/>
    <w:rsid w:val="00964F2B"/>
    <w:rsid w:val="00971ACF"/>
    <w:rsid w:val="00974AA7"/>
    <w:rsid w:val="00976389"/>
    <w:rsid w:val="0097689E"/>
    <w:rsid w:val="00977022"/>
    <w:rsid w:val="0097758F"/>
    <w:rsid w:val="009803DF"/>
    <w:rsid w:val="00982115"/>
    <w:rsid w:val="00984048"/>
    <w:rsid w:val="009845FF"/>
    <w:rsid w:val="009854DA"/>
    <w:rsid w:val="0098716F"/>
    <w:rsid w:val="009911FB"/>
    <w:rsid w:val="009912E0"/>
    <w:rsid w:val="009931DC"/>
    <w:rsid w:val="00995489"/>
    <w:rsid w:val="00995910"/>
    <w:rsid w:val="009960D9"/>
    <w:rsid w:val="00996765"/>
    <w:rsid w:val="00996F88"/>
    <w:rsid w:val="00997379"/>
    <w:rsid w:val="009A0AA2"/>
    <w:rsid w:val="009A2E21"/>
    <w:rsid w:val="009A432A"/>
    <w:rsid w:val="009A4AC2"/>
    <w:rsid w:val="009A4D07"/>
    <w:rsid w:val="009A51E4"/>
    <w:rsid w:val="009A65FC"/>
    <w:rsid w:val="009A723D"/>
    <w:rsid w:val="009A773F"/>
    <w:rsid w:val="009A7E28"/>
    <w:rsid w:val="009B11A4"/>
    <w:rsid w:val="009B1A88"/>
    <w:rsid w:val="009B21A9"/>
    <w:rsid w:val="009B2794"/>
    <w:rsid w:val="009B2D93"/>
    <w:rsid w:val="009B331F"/>
    <w:rsid w:val="009B3836"/>
    <w:rsid w:val="009B5357"/>
    <w:rsid w:val="009B5BAE"/>
    <w:rsid w:val="009C0055"/>
    <w:rsid w:val="009C0D3E"/>
    <w:rsid w:val="009C2B47"/>
    <w:rsid w:val="009C301E"/>
    <w:rsid w:val="009C33B8"/>
    <w:rsid w:val="009C6682"/>
    <w:rsid w:val="009C7D60"/>
    <w:rsid w:val="009D082F"/>
    <w:rsid w:val="009D143B"/>
    <w:rsid w:val="009D198E"/>
    <w:rsid w:val="009D1A13"/>
    <w:rsid w:val="009D1B18"/>
    <w:rsid w:val="009D3210"/>
    <w:rsid w:val="009D3AC5"/>
    <w:rsid w:val="009D49A9"/>
    <w:rsid w:val="009D5A43"/>
    <w:rsid w:val="009D5F4F"/>
    <w:rsid w:val="009D6940"/>
    <w:rsid w:val="009D7749"/>
    <w:rsid w:val="009D7DB0"/>
    <w:rsid w:val="009E1076"/>
    <w:rsid w:val="009E1383"/>
    <w:rsid w:val="009E1704"/>
    <w:rsid w:val="009E1A03"/>
    <w:rsid w:val="009E1D04"/>
    <w:rsid w:val="009E2BD0"/>
    <w:rsid w:val="009E35E5"/>
    <w:rsid w:val="009E4757"/>
    <w:rsid w:val="009E6615"/>
    <w:rsid w:val="009E7616"/>
    <w:rsid w:val="009F3339"/>
    <w:rsid w:val="009F3526"/>
    <w:rsid w:val="009F3A49"/>
    <w:rsid w:val="009F411F"/>
    <w:rsid w:val="009F452D"/>
    <w:rsid w:val="009F4599"/>
    <w:rsid w:val="009F4F07"/>
    <w:rsid w:val="009F6E62"/>
    <w:rsid w:val="00A00B91"/>
    <w:rsid w:val="00A01ADB"/>
    <w:rsid w:val="00A01B52"/>
    <w:rsid w:val="00A04115"/>
    <w:rsid w:val="00A051F5"/>
    <w:rsid w:val="00A05CF2"/>
    <w:rsid w:val="00A0654C"/>
    <w:rsid w:val="00A107AE"/>
    <w:rsid w:val="00A108E9"/>
    <w:rsid w:val="00A10FC2"/>
    <w:rsid w:val="00A139BD"/>
    <w:rsid w:val="00A14706"/>
    <w:rsid w:val="00A14DE6"/>
    <w:rsid w:val="00A165E5"/>
    <w:rsid w:val="00A21764"/>
    <w:rsid w:val="00A21A8E"/>
    <w:rsid w:val="00A222FD"/>
    <w:rsid w:val="00A228CC"/>
    <w:rsid w:val="00A22D2B"/>
    <w:rsid w:val="00A23081"/>
    <w:rsid w:val="00A24229"/>
    <w:rsid w:val="00A25062"/>
    <w:rsid w:val="00A25C6C"/>
    <w:rsid w:val="00A26865"/>
    <w:rsid w:val="00A3244B"/>
    <w:rsid w:val="00A33E1A"/>
    <w:rsid w:val="00A33F2C"/>
    <w:rsid w:val="00A345B7"/>
    <w:rsid w:val="00A34ADB"/>
    <w:rsid w:val="00A35C50"/>
    <w:rsid w:val="00A360BD"/>
    <w:rsid w:val="00A36952"/>
    <w:rsid w:val="00A375B1"/>
    <w:rsid w:val="00A404DB"/>
    <w:rsid w:val="00A40EBA"/>
    <w:rsid w:val="00A41013"/>
    <w:rsid w:val="00A41143"/>
    <w:rsid w:val="00A418AB"/>
    <w:rsid w:val="00A421AE"/>
    <w:rsid w:val="00A432EC"/>
    <w:rsid w:val="00A43730"/>
    <w:rsid w:val="00A43F9F"/>
    <w:rsid w:val="00A443FC"/>
    <w:rsid w:val="00A44D44"/>
    <w:rsid w:val="00A458E2"/>
    <w:rsid w:val="00A46A4B"/>
    <w:rsid w:val="00A47762"/>
    <w:rsid w:val="00A47AB3"/>
    <w:rsid w:val="00A50994"/>
    <w:rsid w:val="00A51F23"/>
    <w:rsid w:val="00A526AF"/>
    <w:rsid w:val="00A535AE"/>
    <w:rsid w:val="00A53B7B"/>
    <w:rsid w:val="00A54027"/>
    <w:rsid w:val="00A5447F"/>
    <w:rsid w:val="00A544EF"/>
    <w:rsid w:val="00A555B0"/>
    <w:rsid w:val="00A55E4E"/>
    <w:rsid w:val="00A562F1"/>
    <w:rsid w:val="00A56C2B"/>
    <w:rsid w:val="00A5738B"/>
    <w:rsid w:val="00A57D12"/>
    <w:rsid w:val="00A57E9D"/>
    <w:rsid w:val="00A605B6"/>
    <w:rsid w:val="00A61840"/>
    <w:rsid w:val="00A62035"/>
    <w:rsid w:val="00A62BBB"/>
    <w:rsid w:val="00A6366C"/>
    <w:rsid w:val="00A63EDF"/>
    <w:rsid w:val="00A64963"/>
    <w:rsid w:val="00A66764"/>
    <w:rsid w:val="00A66AC3"/>
    <w:rsid w:val="00A70E06"/>
    <w:rsid w:val="00A71465"/>
    <w:rsid w:val="00A71A20"/>
    <w:rsid w:val="00A71FE7"/>
    <w:rsid w:val="00A72F66"/>
    <w:rsid w:val="00A73176"/>
    <w:rsid w:val="00A7410B"/>
    <w:rsid w:val="00A74FCE"/>
    <w:rsid w:val="00A7592D"/>
    <w:rsid w:val="00A76ED7"/>
    <w:rsid w:val="00A77A09"/>
    <w:rsid w:val="00A805B7"/>
    <w:rsid w:val="00A806E5"/>
    <w:rsid w:val="00A81F2E"/>
    <w:rsid w:val="00A824D9"/>
    <w:rsid w:val="00A82B1E"/>
    <w:rsid w:val="00A82C15"/>
    <w:rsid w:val="00A8333B"/>
    <w:rsid w:val="00A83BB6"/>
    <w:rsid w:val="00A843A4"/>
    <w:rsid w:val="00A84E57"/>
    <w:rsid w:val="00A85647"/>
    <w:rsid w:val="00A85E79"/>
    <w:rsid w:val="00A90B88"/>
    <w:rsid w:val="00A91CAB"/>
    <w:rsid w:val="00A924B2"/>
    <w:rsid w:val="00A92D87"/>
    <w:rsid w:val="00A93704"/>
    <w:rsid w:val="00A9436C"/>
    <w:rsid w:val="00A94375"/>
    <w:rsid w:val="00A9467F"/>
    <w:rsid w:val="00A97539"/>
    <w:rsid w:val="00AA16A9"/>
    <w:rsid w:val="00AA2763"/>
    <w:rsid w:val="00AA4CE7"/>
    <w:rsid w:val="00AA4F13"/>
    <w:rsid w:val="00AA5148"/>
    <w:rsid w:val="00AA63C7"/>
    <w:rsid w:val="00AA7A36"/>
    <w:rsid w:val="00AB1182"/>
    <w:rsid w:val="00AB2260"/>
    <w:rsid w:val="00AB349B"/>
    <w:rsid w:val="00AB39BE"/>
    <w:rsid w:val="00AB529B"/>
    <w:rsid w:val="00AB5300"/>
    <w:rsid w:val="00AB5977"/>
    <w:rsid w:val="00AB5B9C"/>
    <w:rsid w:val="00AC0130"/>
    <w:rsid w:val="00AC1F12"/>
    <w:rsid w:val="00AC1FCB"/>
    <w:rsid w:val="00AC3007"/>
    <w:rsid w:val="00AC3403"/>
    <w:rsid w:val="00AC3F38"/>
    <w:rsid w:val="00AC714A"/>
    <w:rsid w:val="00AD03F0"/>
    <w:rsid w:val="00AD165A"/>
    <w:rsid w:val="00AD4C35"/>
    <w:rsid w:val="00AD4FCD"/>
    <w:rsid w:val="00AD650D"/>
    <w:rsid w:val="00AE0A72"/>
    <w:rsid w:val="00AE114B"/>
    <w:rsid w:val="00AE2ACA"/>
    <w:rsid w:val="00AE41C6"/>
    <w:rsid w:val="00AE6751"/>
    <w:rsid w:val="00AE7848"/>
    <w:rsid w:val="00AF0329"/>
    <w:rsid w:val="00AF217D"/>
    <w:rsid w:val="00AF2A27"/>
    <w:rsid w:val="00AF3FE4"/>
    <w:rsid w:val="00AF41F4"/>
    <w:rsid w:val="00AF56A9"/>
    <w:rsid w:val="00AF5E87"/>
    <w:rsid w:val="00AF5F60"/>
    <w:rsid w:val="00AF62C1"/>
    <w:rsid w:val="00AF6615"/>
    <w:rsid w:val="00AF6E1B"/>
    <w:rsid w:val="00AF6F70"/>
    <w:rsid w:val="00AF7975"/>
    <w:rsid w:val="00AF7E38"/>
    <w:rsid w:val="00B028D4"/>
    <w:rsid w:val="00B031BA"/>
    <w:rsid w:val="00B0558E"/>
    <w:rsid w:val="00B061BB"/>
    <w:rsid w:val="00B06D79"/>
    <w:rsid w:val="00B06F6B"/>
    <w:rsid w:val="00B07468"/>
    <w:rsid w:val="00B11D44"/>
    <w:rsid w:val="00B11D8C"/>
    <w:rsid w:val="00B11EA8"/>
    <w:rsid w:val="00B12179"/>
    <w:rsid w:val="00B14CF7"/>
    <w:rsid w:val="00B17489"/>
    <w:rsid w:val="00B17B31"/>
    <w:rsid w:val="00B20FB0"/>
    <w:rsid w:val="00B210D4"/>
    <w:rsid w:val="00B21A4B"/>
    <w:rsid w:val="00B21CFF"/>
    <w:rsid w:val="00B22ECA"/>
    <w:rsid w:val="00B23161"/>
    <w:rsid w:val="00B23B23"/>
    <w:rsid w:val="00B23C34"/>
    <w:rsid w:val="00B24085"/>
    <w:rsid w:val="00B25652"/>
    <w:rsid w:val="00B26363"/>
    <w:rsid w:val="00B2636A"/>
    <w:rsid w:val="00B2653A"/>
    <w:rsid w:val="00B26558"/>
    <w:rsid w:val="00B267DE"/>
    <w:rsid w:val="00B27418"/>
    <w:rsid w:val="00B278EB"/>
    <w:rsid w:val="00B31056"/>
    <w:rsid w:val="00B31131"/>
    <w:rsid w:val="00B3151C"/>
    <w:rsid w:val="00B31730"/>
    <w:rsid w:val="00B31774"/>
    <w:rsid w:val="00B31C5A"/>
    <w:rsid w:val="00B33E1D"/>
    <w:rsid w:val="00B344AA"/>
    <w:rsid w:val="00B35981"/>
    <w:rsid w:val="00B36174"/>
    <w:rsid w:val="00B37BD1"/>
    <w:rsid w:val="00B4026D"/>
    <w:rsid w:val="00B4055C"/>
    <w:rsid w:val="00B4097F"/>
    <w:rsid w:val="00B40A9E"/>
    <w:rsid w:val="00B4105E"/>
    <w:rsid w:val="00B41EE2"/>
    <w:rsid w:val="00B442CA"/>
    <w:rsid w:val="00B45822"/>
    <w:rsid w:val="00B458E7"/>
    <w:rsid w:val="00B45987"/>
    <w:rsid w:val="00B45CFD"/>
    <w:rsid w:val="00B46EE1"/>
    <w:rsid w:val="00B5064B"/>
    <w:rsid w:val="00B51366"/>
    <w:rsid w:val="00B532B4"/>
    <w:rsid w:val="00B55857"/>
    <w:rsid w:val="00B55EFD"/>
    <w:rsid w:val="00B57AD8"/>
    <w:rsid w:val="00B61ECE"/>
    <w:rsid w:val="00B628E3"/>
    <w:rsid w:val="00B629E2"/>
    <w:rsid w:val="00B63048"/>
    <w:rsid w:val="00B664D2"/>
    <w:rsid w:val="00B66688"/>
    <w:rsid w:val="00B66995"/>
    <w:rsid w:val="00B70179"/>
    <w:rsid w:val="00B70522"/>
    <w:rsid w:val="00B70EBE"/>
    <w:rsid w:val="00B71737"/>
    <w:rsid w:val="00B71ACE"/>
    <w:rsid w:val="00B72E55"/>
    <w:rsid w:val="00B73021"/>
    <w:rsid w:val="00B7307F"/>
    <w:rsid w:val="00B730C3"/>
    <w:rsid w:val="00B7413D"/>
    <w:rsid w:val="00B743FC"/>
    <w:rsid w:val="00B74762"/>
    <w:rsid w:val="00B75774"/>
    <w:rsid w:val="00B75B5C"/>
    <w:rsid w:val="00B75CC7"/>
    <w:rsid w:val="00B764C1"/>
    <w:rsid w:val="00B767AC"/>
    <w:rsid w:val="00B7750A"/>
    <w:rsid w:val="00B77642"/>
    <w:rsid w:val="00B80428"/>
    <w:rsid w:val="00B80482"/>
    <w:rsid w:val="00B80EDB"/>
    <w:rsid w:val="00B81D57"/>
    <w:rsid w:val="00B82648"/>
    <w:rsid w:val="00B826A0"/>
    <w:rsid w:val="00B849C8"/>
    <w:rsid w:val="00B84A61"/>
    <w:rsid w:val="00B8603A"/>
    <w:rsid w:val="00B864B7"/>
    <w:rsid w:val="00B9013D"/>
    <w:rsid w:val="00B903DF"/>
    <w:rsid w:val="00B92222"/>
    <w:rsid w:val="00B9238D"/>
    <w:rsid w:val="00B929FC"/>
    <w:rsid w:val="00B93255"/>
    <w:rsid w:val="00B9344A"/>
    <w:rsid w:val="00B93A91"/>
    <w:rsid w:val="00B94ABD"/>
    <w:rsid w:val="00B951EC"/>
    <w:rsid w:val="00B963A1"/>
    <w:rsid w:val="00B97275"/>
    <w:rsid w:val="00BA1CD0"/>
    <w:rsid w:val="00BA1F21"/>
    <w:rsid w:val="00BA36E9"/>
    <w:rsid w:val="00BA3DBD"/>
    <w:rsid w:val="00BA4A20"/>
    <w:rsid w:val="00BA4C0C"/>
    <w:rsid w:val="00BA5D0D"/>
    <w:rsid w:val="00BA5D9C"/>
    <w:rsid w:val="00BA6194"/>
    <w:rsid w:val="00BA73F5"/>
    <w:rsid w:val="00BA78E3"/>
    <w:rsid w:val="00BB0BB8"/>
    <w:rsid w:val="00BB1E86"/>
    <w:rsid w:val="00BB24DB"/>
    <w:rsid w:val="00BB2CCB"/>
    <w:rsid w:val="00BB354F"/>
    <w:rsid w:val="00BB36AA"/>
    <w:rsid w:val="00BB3AC0"/>
    <w:rsid w:val="00BB4971"/>
    <w:rsid w:val="00BB4BD8"/>
    <w:rsid w:val="00BB56C2"/>
    <w:rsid w:val="00BB593D"/>
    <w:rsid w:val="00BB639C"/>
    <w:rsid w:val="00BB7425"/>
    <w:rsid w:val="00BB7B7D"/>
    <w:rsid w:val="00BC0122"/>
    <w:rsid w:val="00BC04A2"/>
    <w:rsid w:val="00BC2CDD"/>
    <w:rsid w:val="00BC3795"/>
    <w:rsid w:val="00BC4015"/>
    <w:rsid w:val="00BC43B2"/>
    <w:rsid w:val="00BC5279"/>
    <w:rsid w:val="00BC5A8C"/>
    <w:rsid w:val="00BD055B"/>
    <w:rsid w:val="00BD0FD7"/>
    <w:rsid w:val="00BD173D"/>
    <w:rsid w:val="00BD185F"/>
    <w:rsid w:val="00BD419E"/>
    <w:rsid w:val="00BD4846"/>
    <w:rsid w:val="00BD66CA"/>
    <w:rsid w:val="00BE0140"/>
    <w:rsid w:val="00BE0F6D"/>
    <w:rsid w:val="00BE155B"/>
    <w:rsid w:val="00BE2996"/>
    <w:rsid w:val="00BE2E56"/>
    <w:rsid w:val="00BE449C"/>
    <w:rsid w:val="00BE4593"/>
    <w:rsid w:val="00BE46FB"/>
    <w:rsid w:val="00BE48EE"/>
    <w:rsid w:val="00BE5146"/>
    <w:rsid w:val="00BE5230"/>
    <w:rsid w:val="00BE5B28"/>
    <w:rsid w:val="00BE5BDB"/>
    <w:rsid w:val="00BF13CE"/>
    <w:rsid w:val="00BF2569"/>
    <w:rsid w:val="00BF35B8"/>
    <w:rsid w:val="00BF3ADF"/>
    <w:rsid w:val="00BF4B75"/>
    <w:rsid w:val="00BF514D"/>
    <w:rsid w:val="00BF7680"/>
    <w:rsid w:val="00BF794E"/>
    <w:rsid w:val="00C00100"/>
    <w:rsid w:val="00C00DEE"/>
    <w:rsid w:val="00C012B8"/>
    <w:rsid w:val="00C0196D"/>
    <w:rsid w:val="00C0228F"/>
    <w:rsid w:val="00C02849"/>
    <w:rsid w:val="00C028D2"/>
    <w:rsid w:val="00C033A7"/>
    <w:rsid w:val="00C046AA"/>
    <w:rsid w:val="00C0606A"/>
    <w:rsid w:val="00C061DC"/>
    <w:rsid w:val="00C124DE"/>
    <w:rsid w:val="00C13BA0"/>
    <w:rsid w:val="00C13FFC"/>
    <w:rsid w:val="00C144C4"/>
    <w:rsid w:val="00C158BD"/>
    <w:rsid w:val="00C167FE"/>
    <w:rsid w:val="00C16A30"/>
    <w:rsid w:val="00C170FF"/>
    <w:rsid w:val="00C17A46"/>
    <w:rsid w:val="00C202A5"/>
    <w:rsid w:val="00C217B5"/>
    <w:rsid w:val="00C21DF8"/>
    <w:rsid w:val="00C242FF"/>
    <w:rsid w:val="00C254E9"/>
    <w:rsid w:val="00C26D4C"/>
    <w:rsid w:val="00C3009F"/>
    <w:rsid w:val="00C30407"/>
    <w:rsid w:val="00C30645"/>
    <w:rsid w:val="00C314E5"/>
    <w:rsid w:val="00C31FA8"/>
    <w:rsid w:val="00C3311E"/>
    <w:rsid w:val="00C338D8"/>
    <w:rsid w:val="00C33BD8"/>
    <w:rsid w:val="00C34542"/>
    <w:rsid w:val="00C34D6A"/>
    <w:rsid w:val="00C35581"/>
    <w:rsid w:val="00C35979"/>
    <w:rsid w:val="00C40643"/>
    <w:rsid w:val="00C414C2"/>
    <w:rsid w:val="00C41B2B"/>
    <w:rsid w:val="00C42125"/>
    <w:rsid w:val="00C423C3"/>
    <w:rsid w:val="00C42B9E"/>
    <w:rsid w:val="00C43E93"/>
    <w:rsid w:val="00C43EC5"/>
    <w:rsid w:val="00C440A1"/>
    <w:rsid w:val="00C44D92"/>
    <w:rsid w:val="00C4582E"/>
    <w:rsid w:val="00C45C78"/>
    <w:rsid w:val="00C46072"/>
    <w:rsid w:val="00C467B2"/>
    <w:rsid w:val="00C47808"/>
    <w:rsid w:val="00C5003E"/>
    <w:rsid w:val="00C50185"/>
    <w:rsid w:val="00C5168E"/>
    <w:rsid w:val="00C52D8C"/>
    <w:rsid w:val="00C55B91"/>
    <w:rsid w:val="00C56507"/>
    <w:rsid w:val="00C56652"/>
    <w:rsid w:val="00C570C8"/>
    <w:rsid w:val="00C602A9"/>
    <w:rsid w:val="00C62607"/>
    <w:rsid w:val="00C62B1F"/>
    <w:rsid w:val="00C6480E"/>
    <w:rsid w:val="00C6482A"/>
    <w:rsid w:val="00C707E2"/>
    <w:rsid w:val="00C70970"/>
    <w:rsid w:val="00C73FD3"/>
    <w:rsid w:val="00C75781"/>
    <w:rsid w:val="00C767EB"/>
    <w:rsid w:val="00C77EF6"/>
    <w:rsid w:val="00C77F41"/>
    <w:rsid w:val="00C827C5"/>
    <w:rsid w:val="00C83725"/>
    <w:rsid w:val="00C84409"/>
    <w:rsid w:val="00C84A63"/>
    <w:rsid w:val="00C866AE"/>
    <w:rsid w:val="00C914D6"/>
    <w:rsid w:val="00C9276F"/>
    <w:rsid w:val="00C927EF"/>
    <w:rsid w:val="00C936C1"/>
    <w:rsid w:val="00C94083"/>
    <w:rsid w:val="00C9418B"/>
    <w:rsid w:val="00C9498E"/>
    <w:rsid w:val="00C95A66"/>
    <w:rsid w:val="00C95BBD"/>
    <w:rsid w:val="00C96508"/>
    <w:rsid w:val="00C9791F"/>
    <w:rsid w:val="00C97CEF"/>
    <w:rsid w:val="00CA0CFC"/>
    <w:rsid w:val="00CA11E3"/>
    <w:rsid w:val="00CA1546"/>
    <w:rsid w:val="00CA1704"/>
    <w:rsid w:val="00CA230E"/>
    <w:rsid w:val="00CA2579"/>
    <w:rsid w:val="00CA3149"/>
    <w:rsid w:val="00CA3290"/>
    <w:rsid w:val="00CA34B7"/>
    <w:rsid w:val="00CA6F01"/>
    <w:rsid w:val="00CA71D8"/>
    <w:rsid w:val="00CA7518"/>
    <w:rsid w:val="00CB04C5"/>
    <w:rsid w:val="00CB11C4"/>
    <w:rsid w:val="00CB153C"/>
    <w:rsid w:val="00CB1D6D"/>
    <w:rsid w:val="00CB39FE"/>
    <w:rsid w:val="00CB3CEB"/>
    <w:rsid w:val="00CB51F1"/>
    <w:rsid w:val="00CB7307"/>
    <w:rsid w:val="00CB7D05"/>
    <w:rsid w:val="00CC137C"/>
    <w:rsid w:val="00CC22AF"/>
    <w:rsid w:val="00CC2C65"/>
    <w:rsid w:val="00CC352C"/>
    <w:rsid w:val="00CC4B08"/>
    <w:rsid w:val="00CC7F80"/>
    <w:rsid w:val="00CD0267"/>
    <w:rsid w:val="00CD1F65"/>
    <w:rsid w:val="00CD3322"/>
    <w:rsid w:val="00CD3603"/>
    <w:rsid w:val="00CD5053"/>
    <w:rsid w:val="00CD5860"/>
    <w:rsid w:val="00CD6116"/>
    <w:rsid w:val="00CD6157"/>
    <w:rsid w:val="00CD6E35"/>
    <w:rsid w:val="00CD7516"/>
    <w:rsid w:val="00CD7726"/>
    <w:rsid w:val="00CD78DD"/>
    <w:rsid w:val="00CD7C82"/>
    <w:rsid w:val="00CE007A"/>
    <w:rsid w:val="00CE0518"/>
    <w:rsid w:val="00CE07C7"/>
    <w:rsid w:val="00CE0BA2"/>
    <w:rsid w:val="00CE1E33"/>
    <w:rsid w:val="00CE2B66"/>
    <w:rsid w:val="00CE2CD3"/>
    <w:rsid w:val="00CE3CDF"/>
    <w:rsid w:val="00CE3F5A"/>
    <w:rsid w:val="00CE4101"/>
    <w:rsid w:val="00CE5675"/>
    <w:rsid w:val="00CE6ECF"/>
    <w:rsid w:val="00CF0AFC"/>
    <w:rsid w:val="00CF2A16"/>
    <w:rsid w:val="00CF2D1C"/>
    <w:rsid w:val="00CF3F41"/>
    <w:rsid w:val="00CF4BB7"/>
    <w:rsid w:val="00CF529E"/>
    <w:rsid w:val="00CF56E3"/>
    <w:rsid w:val="00CF66EB"/>
    <w:rsid w:val="00CF729D"/>
    <w:rsid w:val="00CF7FFC"/>
    <w:rsid w:val="00D00165"/>
    <w:rsid w:val="00D029B5"/>
    <w:rsid w:val="00D0391D"/>
    <w:rsid w:val="00D03E2A"/>
    <w:rsid w:val="00D0426A"/>
    <w:rsid w:val="00D0505B"/>
    <w:rsid w:val="00D06388"/>
    <w:rsid w:val="00D076D4"/>
    <w:rsid w:val="00D07FD1"/>
    <w:rsid w:val="00D1122F"/>
    <w:rsid w:val="00D11737"/>
    <w:rsid w:val="00D11C09"/>
    <w:rsid w:val="00D1295A"/>
    <w:rsid w:val="00D139C5"/>
    <w:rsid w:val="00D1422A"/>
    <w:rsid w:val="00D1589C"/>
    <w:rsid w:val="00D1615E"/>
    <w:rsid w:val="00D16F93"/>
    <w:rsid w:val="00D2178C"/>
    <w:rsid w:val="00D2178D"/>
    <w:rsid w:val="00D21870"/>
    <w:rsid w:val="00D2259E"/>
    <w:rsid w:val="00D24545"/>
    <w:rsid w:val="00D2483E"/>
    <w:rsid w:val="00D2540E"/>
    <w:rsid w:val="00D257A5"/>
    <w:rsid w:val="00D25F87"/>
    <w:rsid w:val="00D27C65"/>
    <w:rsid w:val="00D30B79"/>
    <w:rsid w:val="00D318AF"/>
    <w:rsid w:val="00D319BE"/>
    <w:rsid w:val="00D31D93"/>
    <w:rsid w:val="00D3231F"/>
    <w:rsid w:val="00D33341"/>
    <w:rsid w:val="00D33968"/>
    <w:rsid w:val="00D34145"/>
    <w:rsid w:val="00D35DDE"/>
    <w:rsid w:val="00D369CC"/>
    <w:rsid w:val="00D37CD6"/>
    <w:rsid w:val="00D4033B"/>
    <w:rsid w:val="00D40718"/>
    <w:rsid w:val="00D4123C"/>
    <w:rsid w:val="00D41527"/>
    <w:rsid w:val="00D43C8B"/>
    <w:rsid w:val="00D44993"/>
    <w:rsid w:val="00D44F00"/>
    <w:rsid w:val="00D4531E"/>
    <w:rsid w:val="00D46259"/>
    <w:rsid w:val="00D46278"/>
    <w:rsid w:val="00D4629E"/>
    <w:rsid w:val="00D47168"/>
    <w:rsid w:val="00D4720D"/>
    <w:rsid w:val="00D47A27"/>
    <w:rsid w:val="00D5172C"/>
    <w:rsid w:val="00D53762"/>
    <w:rsid w:val="00D53C26"/>
    <w:rsid w:val="00D54262"/>
    <w:rsid w:val="00D54D59"/>
    <w:rsid w:val="00D55327"/>
    <w:rsid w:val="00D556A1"/>
    <w:rsid w:val="00D558D0"/>
    <w:rsid w:val="00D55DD1"/>
    <w:rsid w:val="00D56E17"/>
    <w:rsid w:val="00D56E51"/>
    <w:rsid w:val="00D603E2"/>
    <w:rsid w:val="00D62480"/>
    <w:rsid w:val="00D62A3D"/>
    <w:rsid w:val="00D6498A"/>
    <w:rsid w:val="00D65AC5"/>
    <w:rsid w:val="00D66991"/>
    <w:rsid w:val="00D66C09"/>
    <w:rsid w:val="00D67553"/>
    <w:rsid w:val="00D71A62"/>
    <w:rsid w:val="00D72BE5"/>
    <w:rsid w:val="00D743AE"/>
    <w:rsid w:val="00D75BBD"/>
    <w:rsid w:val="00D7644A"/>
    <w:rsid w:val="00D8015D"/>
    <w:rsid w:val="00D812E1"/>
    <w:rsid w:val="00D81DD7"/>
    <w:rsid w:val="00D82149"/>
    <w:rsid w:val="00D83996"/>
    <w:rsid w:val="00D8446D"/>
    <w:rsid w:val="00D865FE"/>
    <w:rsid w:val="00D873ED"/>
    <w:rsid w:val="00D9006A"/>
    <w:rsid w:val="00D90C97"/>
    <w:rsid w:val="00D91867"/>
    <w:rsid w:val="00D9366E"/>
    <w:rsid w:val="00D944FD"/>
    <w:rsid w:val="00D9463B"/>
    <w:rsid w:val="00D9762D"/>
    <w:rsid w:val="00D97B79"/>
    <w:rsid w:val="00DA0AEA"/>
    <w:rsid w:val="00DA2147"/>
    <w:rsid w:val="00DA299B"/>
    <w:rsid w:val="00DA3594"/>
    <w:rsid w:val="00DA3A5B"/>
    <w:rsid w:val="00DA4214"/>
    <w:rsid w:val="00DA439E"/>
    <w:rsid w:val="00DA4E73"/>
    <w:rsid w:val="00DA528B"/>
    <w:rsid w:val="00DA53BF"/>
    <w:rsid w:val="00DA564D"/>
    <w:rsid w:val="00DA56BA"/>
    <w:rsid w:val="00DA5ACF"/>
    <w:rsid w:val="00DA60CA"/>
    <w:rsid w:val="00DA749B"/>
    <w:rsid w:val="00DB0C27"/>
    <w:rsid w:val="00DB1E2F"/>
    <w:rsid w:val="00DB2B36"/>
    <w:rsid w:val="00DB2C37"/>
    <w:rsid w:val="00DB31A9"/>
    <w:rsid w:val="00DB39A4"/>
    <w:rsid w:val="00DB4E22"/>
    <w:rsid w:val="00DB58C3"/>
    <w:rsid w:val="00DB5E41"/>
    <w:rsid w:val="00DB749D"/>
    <w:rsid w:val="00DB7D38"/>
    <w:rsid w:val="00DC025F"/>
    <w:rsid w:val="00DC1820"/>
    <w:rsid w:val="00DC1A50"/>
    <w:rsid w:val="00DC2898"/>
    <w:rsid w:val="00DC4099"/>
    <w:rsid w:val="00DC45AA"/>
    <w:rsid w:val="00DC5974"/>
    <w:rsid w:val="00DC59C9"/>
    <w:rsid w:val="00DC5DA5"/>
    <w:rsid w:val="00DD05E0"/>
    <w:rsid w:val="00DD0D7C"/>
    <w:rsid w:val="00DD1776"/>
    <w:rsid w:val="00DD1852"/>
    <w:rsid w:val="00DD1CA9"/>
    <w:rsid w:val="00DD1EB7"/>
    <w:rsid w:val="00DD2C76"/>
    <w:rsid w:val="00DD3EFC"/>
    <w:rsid w:val="00DD62D0"/>
    <w:rsid w:val="00DD6B5F"/>
    <w:rsid w:val="00DE0DE3"/>
    <w:rsid w:val="00DE1FB3"/>
    <w:rsid w:val="00DE33D2"/>
    <w:rsid w:val="00DE3455"/>
    <w:rsid w:val="00DE616D"/>
    <w:rsid w:val="00DE7E1B"/>
    <w:rsid w:val="00DF0F56"/>
    <w:rsid w:val="00DF15AC"/>
    <w:rsid w:val="00DF22C0"/>
    <w:rsid w:val="00DF31F3"/>
    <w:rsid w:val="00DF43F2"/>
    <w:rsid w:val="00DF5ECB"/>
    <w:rsid w:val="00DF62C6"/>
    <w:rsid w:val="00DF74BA"/>
    <w:rsid w:val="00DF79E0"/>
    <w:rsid w:val="00E0229C"/>
    <w:rsid w:val="00E028A4"/>
    <w:rsid w:val="00E042F4"/>
    <w:rsid w:val="00E04790"/>
    <w:rsid w:val="00E0495B"/>
    <w:rsid w:val="00E04CE7"/>
    <w:rsid w:val="00E05FF5"/>
    <w:rsid w:val="00E06066"/>
    <w:rsid w:val="00E06C62"/>
    <w:rsid w:val="00E070EB"/>
    <w:rsid w:val="00E07B55"/>
    <w:rsid w:val="00E10DD5"/>
    <w:rsid w:val="00E11CD2"/>
    <w:rsid w:val="00E12BCC"/>
    <w:rsid w:val="00E13489"/>
    <w:rsid w:val="00E143F8"/>
    <w:rsid w:val="00E158F3"/>
    <w:rsid w:val="00E16195"/>
    <w:rsid w:val="00E16B2A"/>
    <w:rsid w:val="00E1700E"/>
    <w:rsid w:val="00E23412"/>
    <w:rsid w:val="00E23807"/>
    <w:rsid w:val="00E23909"/>
    <w:rsid w:val="00E239C6"/>
    <w:rsid w:val="00E24C62"/>
    <w:rsid w:val="00E26222"/>
    <w:rsid w:val="00E266BE"/>
    <w:rsid w:val="00E26ED7"/>
    <w:rsid w:val="00E27261"/>
    <w:rsid w:val="00E30A7D"/>
    <w:rsid w:val="00E319B2"/>
    <w:rsid w:val="00E321F0"/>
    <w:rsid w:val="00E32F33"/>
    <w:rsid w:val="00E337CC"/>
    <w:rsid w:val="00E33AC7"/>
    <w:rsid w:val="00E33CCC"/>
    <w:rsid w:val="00E36ADA"/>
    <w:rsid w:val="00E401A6"/>
    <w:rsid w:val="00E41A66"/>
    <w:rsid w:val="00E41D3A"/>
    <w:rsid w:val="00E42596"/>
    <w:rsid w:val="00E46079"/>
    <w:rsid w:val="00E4683F"/>
    <w:rsid w:val="00E52E83"/>
    <w:rsid w:val="00E52FDE"/>
    <w:rsid w:val="00E53FF7"/>
    <w:rsid w:val="00E54AEF"/>
    <w:rsid w:val="00E5560F"/>
    <w:rsid w:val="00E5581E"/>
    <w:rsid w:val="00E57DA0"/>
    <w:rsid w:val="00E60B2C"/>
    <w:rsid w:val="00E60BC7"/>
    <w:rsid w:val="00E60FF4"/>
    <w:rsid w:val="00E6245E"/>
    <w:rsid w:val="00E6375F"/>
    <w:rsid w:val="00E64171"/>
    <w:rsid w:val="00E64A1A"/>
    <w:rsid w:val="00E658D8"/>
    <w:rsid w:val="00E6796C"/>
    <w:rsid w:val="00E707DC"/>
    <w:rsid w:val="00E71601"/>
    <w:rsid w:val="00E71A9B"/>
    <w:rsid w:val="00E73CC1"/>
    <w:rsid w:val="00E74071"/>
    <w:rsid w:val="00E74349"/>
    <w:rsid w:val="00E745C0"/>
    <w:rsid w:val="00E75142"/>
    <w:rsid w:val="00E7554C"/>
    <w:rsid w:val="00E762BB"/>
    <w:rsid w:val="00E765D9"/>
    <w:rsid w:val="00E77875"/>
    <w:rsid w:val="00E77C12"/>
    <w:rsid w:val="00E80500"/>
    <w:rsid w:val="00E80876"/>
    <w:rsid w:val="00E83592"/>
    <w:rsid w:val="00E86B03"/>
    <w:rsid w:val="00E87DA3"/>
    <w:rsid w:val="00E90215"/>
    <w:rsid w:val="00E9092D"/>
    <w:rsid w:val="00E90FBE"/>
    <w:rsid w:val="00E92130"/>
    <w:rsid w:val="00E929C3"/>
    <w:rsid w:val="00E92C7A"/>
    <w:rsid w:val="00E92E28"/>
    <w:rsid w:val="00E9331F"/>
    <w:rsid w:val="00E93823"/>
    <w:rsid w:val="00E93D71"/>
    <w:rsid w:val="00E9445C"/>
    <w:rsid w:val="00E94948"/>
    <w:rsid w:val="00E949F8"/>
    <w:rsid w:val="00E94B95"/>
    <w:rsid w:val="00E9528A"/>
    <w:rsid w:val="00E964FA"/>
    <w:rsid w:val="00E975D6"/>
    <w:rsid w:val="00E97FE1"/>
    <w:rsid w:val="00EA08C7"/>
    <w:rsid w:val="00EA091F"/>
    <w:rsid w:val="00EA0B3B"/>
    <w:rsid w:val="00EA2043"/>
    <w:rsid w:val="00EA403E"/>
    <w:rsid w:val="00EA501C"/>
    <w:rsid w:val="00EA551A"/>
    <w:rsid w:val="00EA6D37"/>
    <w:rsid w:val="00EB37C9"/>
    <w:rsid w:val="00EB44D8"/>
    <w:rsid w:val="00EB4D9F"/>
    <w:rsid w:val="00EB7642"/>
    <w:rsid w:val="00EB77BE"/>
    <w:rsid w:val="00EC184F"/>
    <w:rsid w:val="00EC35DC"/>
    <w:rsid w:val="00EC4CB8"/>
    <w:rsid w:val="00EC5443"/>
    <w:rsid w:val="00EC733D"/>
    <w:rsid w:val="00EC7373"/>
    <w:rsid w:val="00EC7698"/>
    <w:rsid w:val="00EC7BDA"/>
    <w:rsid w:val="00ED1413"/>
    <w:rsid w:val="00ED2B2C"/>
    <w:rsid w:val="00ED36A2"/>
    <w:rsid w:val="00ED3796"/>
    <w:rsid w:val="00ED4949"/>
    <w:rsid w:val="00ED49C2"/>
    <w:rsid w:val="00ED6697"/>
    <w:rsid w:val="00EE0C19"/>
    <w:rsid w:val="00EE2434"/>
    <w:rsid w:val="00EE3973"/>
    <w:rsid w:val="00EE3B52"/>
    <w:rsid w:val="00EE4F90"/>
    <w:rsid w:val="00EE786D"/>
    <w:rsid w:val="00EE7C03"/>
    <w:rsid w:val="00EF01F9"/>
    <w:rsid w:val="00EF07B8"/>
    <w:rsid w:val="00EF1597"/>
    <w:rsid w:val="00EF3A46"/>
    <w:rsid w:val="00EF3D92"/>
    <w:rsid w:val="00EF5828"/>
    <w:rsid w:val="00EF5970"/>
    <w:rsid w:val="00EF5E42"/>
    <w:rsid w:val="00EF7DB2"/>
    <w:rsid w:val="00EF7EAC"/>
    <w:rsid w:val="00F00662"/>
    <w:rsid w:val="00F01D88"/>
    <w:rsid w:val="00F02259"/>
    <w:rsid w:val="00F04091"/>
    <w:rsid w:val="00F04ABE"/>
    <w:rsid w:val="00F05482"/>
    <w:rsid w:val="00F05E7F"/>
    <w:rsid w:val="00F0704B"/>
    <w:rsid w:val="00F076BC"/>
    <w:rsid w:val="00F07B88"/>
    <w:rsid w:val="00F105E5"/>
    <w:rsid w:val="00F108F5"/>
    <w:rsid w:val="00F125EA"/>
    <w:rsid w:val="00F12C6A"/>
    <w:rsid w:val="00F14680"/>
    <w:rsid w:val="00F14DA0"/>
    <w:rsid w:val="00F15586"/>
    <w:rsid w:val="00F156A1"/>
    <w:rsid w:val="00F179D5"/>
    <w:rsid w:val="00F20575"/>
    <w:rsid w:val="00F20712"/>
    <w:rsid w:val="00F208B8"/>
    <w:rsid w:val="00F233E4"/>
    <w:rsid w:val="00F23593"/>
    <w:rsid w:val="00F236E3"/>
    <w:rsid w:val="00F2529F"/>
    <w:rsid w:val="00F27AF1"/>
    <w:rsid w:val="00F30B09"/>
    <w:rsid w:val="00F30DB3"/>
    <w:rsid w:val="00F31612"/>
    <w:rsid w:val="00F32921"/>
    <w:rsid w:val="00F3354C"/>
    <w:rsid w:val="00F345E1"/>
    <w:rsid w:val="00F35C59"/>
    <w:rsid w:val="00F4378A"/>
    <w:rsid w:val="00F4580B"/>
    <w:rsid w:val="00F46D2C"/>
    <w:rsid w:val="00F474AE"/>
    <w:rsid w:val="00F506F9"/>
    <w:rsid w:val="00F51270"/>
    <w:rsid w:val="00F5156D"/>
    <w:rsid w:val="00F515C5"/>
    <w:rsid w:val="00F51D19"/>
    <w:rsid w:val="00F525BB"/>
    <w:rsid w:val="00F553A4"/>
    <w:rsid w:val="00F55544"/>
    <w:rsid w:val="00F5558D"/>
    <w:rsid w:val="00F555EC"/>
    <w:rsid w:val="00F55897"/>
    <w:rsid w:val="00F57BED"/>
    <w:rsid w:val="00F57FF2"/>
    <w:rsid w:val="00F6087E"/>
    <w:rsid w:val="00F611A5"/>
    <w:rsid w:val="00F61B54"/>
    <w:rsid w:val="00F64AA5"/>
    <w:rsid w:val="00F64DDB"/>
    <w:rsid w:val="00F709C4"/>
    <w:rsid w:val="00F70BE0"/>
    <w:rsid w:val="00F70BE5"/>
    <w:rsid w:val="00F724B8"/>
    <w:rsid w:val="00F73D88"/>
    <w:rsid w:val="00F74121"/>
    <w:rsid w:val="00F7534F"/>
    <w:rsid w:val="00F758B9"/>
    <w:rsid w:val="00F767A0"/>
    <w:rsid w:val="00F769DA"/>
    <w:rsid w:val="00F76F4A"/>
    <w:rsid w:val="00F77E9D"/>
    <w:rsid w:val="00F828C3"/>
    <w:rsid w:val="00F834E5"/>
    <w:rsid w:val="00F841C6"/>
    <w:rsid w:val="00F84C7F"/>
    <w:rsid w:val="00F852F6"/>
    <w:rsid w:val="00F854BB"/>
    <w:rsid w:val="00F85DBD"/>
    <w:rsid w:val="00F85FE1"/>
    <w:rsid w:val="00F8713B"/>
    <w:rsid w:val="00F879FB"/>
    <w:rsid w:val="00F90181"/>
    <w:rsid w:val="00F901E5"/>
    <w:rsid w:val="00F91D63"/>
    <w:rsid w:val="00F9298F"/>
    <w:rsid w:val="00F92BE5"/>
    <w:rsid w:val="00F92C05"/>
    <w:rsid w:val="00F92C18"/>
    <w:rsid w:val="00F9530B"/>
    <w:rsid w:val="00F9588B"/>
    <w:rsid w:val="00F96349"/>
    <w:rsid w:val="00F96C76"/>
    <w:rsid w:val="00F96E2F"/>
    <w:rsid w:val="00FA0109"/>
    <w:rsid w:val="00FA062E"/>
    <w:rsid w:val="00FA1F83"/>
    <w:rsid w:val="00FA21D3"/>
    <w:rsid w:val="00FA3D83"/>
    <w:rsid w:val="00FA4EE8"/>
    <w:rsid w:val="00FA4FA7"/>
    <w:rsid w:val="00FA57D0"/>
    <w:rsid w:val="00FA6411"/>
    <w:rsid w:val="00FA66D7"/>
    <w:rsid w:val="00FB0DED"/>
    <w:rsid w:val="00FB124A"/>
    <w:rsid w:val="00FB3366"/>
    <w:rsid w:val="00FB436F"/>
    <w:rsid w:val="00FB6847"/>
    <w:rsid w:val="00FC04F8"/>
    <w:rsid w:val="00FC09FB"/>
    <w:rsid w:val="00FC0D95"/>
    <w:rsid w:val="00FC12FA"/>
    <w:rsid w:val="00FC26C6"/>
    <w:rsid w:val="00FC47DF"/>
    <w:rsid w:val="00FC4B3C"/>
    <w:rsid w:val="00FC5D0F"/>
    <w:rsid w:val="00FC7343"/>
    <w:rsid w:val="00FC7EDC"/>
    <w:rsid w:val="00FD15EE"/>
    <w:rsid w:val="00FD2199"/>
    <w:rsid w:val="00FD3315"/>
    <w:rsid w:val="00FD459F"/>
    <w:rsid w:val="00FD58D5"/>
    <w:rsid w:val="00FD5A34"/>
    <w:rsid w:val="00FD5C14"/>
    <w:rsid w:val="00FD6059"/>
    <w:rsid w:val="00FD7D88"/>
    <w:rsid w:val="00FE0B7E"/>
    <w:rsid w:val="00FE2AB3"/>
    <w:rsid w:val="00FE44F1"/>
    <w:rsid w:val="00FE4579"/>
    <w:rsid w:val="00FE4C75"/>
    <w:rsid w:val="00FE6207"/>
    <w:rsid w:val="00FE67AC"/>
    <w:rsid w:val="00FE6844"/>
    <w:rsid w:val="00FE794C"/>
    <w:rsid w:val="00FF0235"/>
    <w:rsid w:val="00FF09BE"/>
    <w:rsid w:val="00FF27E8"/>
    <w:rsid w:val="00FF28CC"/>
    <w:rsid w:val="00FF41A9"/>
    <w:rsid w:val="00FF4A8E"/>
    <w:rsid w:val="00FF5196"/>
    <w:rsid w:val="00FF61A2"/>
    <w:rsid w:val="00FF65E8"/>
    <w:rsid w:val="011A7E03"/>
    <w:rsid w:val="01583748"/>
    <w:rsid w:val="027A149C"/>
    <w:rsid w:val="028B6259"/>
    <w:rsid w:val="029C58B6"/>
    <w:rsid w:val="02A66735"/>
    <w:rsid w:val="02C2160D"/>
    <w:rsid w:val="02E234DD"/>
    <w:rsid w:val="02FB6CDA"/>
    <w:rsid w:val="0482288A"/>
    <w:rsid w:val="049A7BD3"/>
    <w:rsid w:val="04CA3668"/>
    <w:rsid w:val="069B5E85"/>
    <w:rsid w:val="077961C6"/>
    <w:rsid w:val="07DC0503"/>
    <w:rsid w:val="07EC6653"/>
    <w:rsid w:val="08DA2C94"/>
    <w:rsid w:val="09297778"/>
    <w:rsid w:val="09722ECD"/>
    <w:rsid w:val="09866978"/>
    <w:rsid w:val="09DC7CD3"/>
    <w:rsid w:val="0A206DCD"/>
    <w:rsid w:val="0B5C5BE2"/>
    <w:rsid w:val="0B7F13C8"/>
    <w:rsid w:val="0BD31C1D"/>
    <w:rsid w:val="0C7A7E7C"/>
    <w:rsid w:val="0C7B02EA"/>
    <w:rsid w:val="0E8042DE"/>
    <w:rsid w:val="0EF16F8A"/>
    <w:rsid w:val="107E484D"/>
    <w:rsid w:val="108D4A90"/>
    <w:rsid w:val="1184122C"/>
    <w:rsid w:val="12D40754"/>
    <w:rsid w:val="133438E9"/>
    <w:rsid w:val="13501ACC"/>
    <w:rsid w:val="137B5074"/>
    <w:rsid w:val="138E4DA7"/>
    <w:rsid w:val="142418B8"/>
    <w:rsid w:val="14524026"/>
    <w:rsid w:val="154020D1"/>
    <w:rsid w:val="15BF6271"/>
    <w:rsid w:val="15E96C0C"/>
    <w:rsid w:val="16094BB9"/>
    <w:rsid w:val="16563C35"/>
    <w:rsid w:val="18756535"/>
    <w:rsid w:val="1B351FAC"/>
    <w:rsid w:val="1B574618"/>
    <w:rsid w:val="1B713D95"/>
    <w:rsid w:val="1B9413C8"/>
    <w:rsid w:val="1BC44D83"/>
    <w:rsid w:val="1BFC2ACA"/>
    <w:rsid w:val="1C1918CE"/>
    <w:rsid w:val="1C894B2C"/>
    <w:rsid w:val="1D1A67D3"/>
    <w:rsid w:val="1D5F77B4"/>
    <w:rsid w:val="1E5C5494"/>
    <w:rsid w:val="1F3233D2"/>
    <w:rsid w:val="1FE83A91"/>
    <w:rsid w:val="20052895"/>
    <w:rsid w:val="207E61A3"/>
    <w:rsid w:val="211B1C44"/>
    <w:rsid w:val="21674E89"/>
    <w:rsid w:val="219E37A0"/>
    <w:rsid w:val="242242BB"/>
    <w:rsid w:val="25421E95"/>
    <w:rsid w:val="257302A1"/>
    <w:rsid w:val="26094761"/>
    <w:rsid w:val="26945303"/>
    <w:rsid w:val="271C2272"/>
    <w:rsid w:val="27FF5E1C"/>
    <w:rsid w:val="280A16BF"/>
    <w:rsid w:val="283C7070"/>
    <w:rsid w:val="29257B04"/>
    <w:rsid w:val="2955733F"/>
    <w:rsid w:val="29982084"/>
    <w:rsid w:val="29F179E6"/>
    <w:rsid w:val="2A473AAA"/>
    <w:rsid w:val="2AB4113F"/>
    <w:rsid w:val="2B744A61"/>
    <w:rsid w:val="2BC453B2"/>
    <w:rsid w:val="2BCE7FDF"/>
    <w:rsid w:val="2BFD2672"/>
    <w:rsid w:val="2CAA34BC"/>
    <w:rsid w:val="2D151C3D"/>
    <w:rsid w:val="2D5D2702"/>
    <w:rsid w:val="2E0777D8"/>
    <w:rsid w:val="2EC76F67"/>
    <w:rsid w:val="306B4E97"/>
    <w:rsid w:val="313F364D"/>
    <w:rsid w:val="315C608D"/>
    <w:rsid w:val="319D4F4E"/>
    <w:rsid w:val="3253123E"/>
    <w:rsid w:val="325C4A19"/>
    <w:rsid w:val="333B59E2"/>
    <w:rsid w:val="36301896"/>
    <w:rsid w:val="36590DED"/>
    <w:rsid w:val="37E172EC"/>
    <w:rsid w:val="382673F4"/>
    <w:rsid w:val="386B4E07"/>
    <w:rsid w:val="39074B30"/>
    <w:rsid w:val="395F671A"/>
    <w:rsid w:val="39A131D7"/>
    <w:rsid w:val="3C0637C5"/>
    <w:rsid w:val="3CC04181"/>
    <w:rsid w:val="3DA2751D"/>
    <w:rsid w:val="3E036536"/>
    <w:rsid w:val="3E66054B"/>
    <w:rsid w:val="3E7C38CA"/>
    <w:rsid w:val="3EA13331"/>
    <w:rsid w:val="3EF773F5"/>
    <w:rsid w:val="3F375A43"/>
    <w:rsid w:val="3F47212A"/>
    <w:rsid w:val="3FC512A1"/>
    <w:rsid w:val="3FC96FE3"/>
    <w:rsid w:val="3FFF47B3"/>
    <w:rsid w:val="400C6ED0"/>
    <w:rsid w:val="40863629"/>
    <w:rsid w:val="42015BE7"/>
    <w:rsid w:val="4251506E"/>
    <w:rsid w:val="426A6ADF"/>
    <w:rsid w:val="43144A19"/>
    <w:rsid w:val="432033BE"/>
    <w:rsid w:val="439F59EA"/>
    <w:rsid w:val="447C536B"/>
    <w:rsid w:val="461A77FE"/>
    <w:rsid w:val="46CE4EDF"/>
    <w:rsid w:val="475950F1"/>
    <w:rsid w:val="475F1FDB"/>
    <w:rsid w:val="487E46E3"/>
    <w:rsid w:val="4B5C0D0B"/>
    <w:rsid w:val="4B5C51AF"/>
    <w:rsid w:val="4B6E4326"/>
    <w:rsid w:val="4C561BFF"/>
    <w:rsid w:val="4D7367E0"/>
    <w:rsid w:val="4E437F61"/>
    <w:rsid w:val="4F770156"/>
    <w:rsid w:val="4FA964E9"/>
    <w:rsid w:val="500A342C"/>
    <w:rsid w:val="504C29DB"/>
    <w:rsid w:val="508B3E41"/>
    <w:rsid w:val="50EF617E"/>
    <w:rsid w:val="51B3364F"/>
    <w:rsid w:val="533D58C6"/>
    <w:rsid w:val="53AC65A8"/>
    <w:rsid w:val="53F817ED"/>
    <w:rsid w:val="560B3A5A"/>
    <w:rsid w:val="56737851"/>
    <w:rsid w:val="568C0665"/>
    <w:rsid w:val="56DD7F5E"/>
    <w:rsid w:val="57C540DC"/>
    <w:rsid w:val="589F492D"/>
    <w:rsid w:val="59B2320B"/>
    <w:rsid w:val="5AA1673B"/>
    <w:rsid w:val="5BAC4FB7"/>
    <w:rsid w:val="5C1967A5"/>
    <w:rsid w:val="5C4E644E"/>
    <w:rsid w:val="5CC6692D"/>
    <w:rsid w:val="5CF05758"/>
    <w:rsid w:val="5D04687A"/>
    <w:rsid w:val="5D1D22C5"/>
    <w:rsid w:val="5D8C079F"/>
    <w:rsid w:val="5D9635FF"/>
    <w:rsid w:val="5E7B54F5"/>
    <w:rsid w:val="5F011E9E"/>
    <w:rsid w:val="5F57386C"/>
    <w:rsid w:val="5F9525E6"/>
    <w:rsid w:val="60A32A5F"/>
    <w:rsid w:val="62053A53"/>
    <w:rsid w:val="62397BA1"/>
    <w:rsid w:val="62487DDF"/>
    <w:rsid w:val="63584057"/>
    <w:rsid w:val="643E149E"/>
    <w:rsid w:val="64A55079"/>
    <w:rsid w:val="660B715E"/>
    <w:rsid w:val="663F32AC"/>
    <w:rsid w:val="669742EA"/>
    <w:rsid w:val="66CD08B8"/>
    <w:rsid w:val="66E71979"/>
    <w:rsid w:val="67C021CA"/>
    <w:rsid w:val="684B418A"/>
    <w:rsid w:val="684D7F02"/>
    <w:rsid w:val="695D70C6"/>
    <w:rsid w:val="69F85C4B"/>
    <w:rsid w:val="6ACF6F49"/>
    <w:rsid w:val="6AD205BF"/>
    <w:rsid w:val="6BE4292B"/>
    <w:rsid w:val="6C152AE5"/>
    <w:rsid w:val="6C1A634D"/>
    <w:rsid w:val="6C400A9D"/>
    <w:rsid w:val="6CE32BE3"/>
    <w:rsid w:val="6D627806"/>
    <w:rsid w:val="6E14734C"/>
    <w:rsid w:val="6E4E0530"/>
    <w:rsid w:val="6E6715F2"/>
    <w:rsid w:val="6EC701F6"/>
    <w:rsid w:val="6EDB19FA"/>
    <w:rsid w:val="6EEF0EDE"/>
    <w:rsid w:val="6F806E0F"/>
    <w:rsid w:val="707D334E"/>
    <w:rsid w:val="70BD374B"/>
    <w:rsid w:val="719426FE"/>
    <w:rsid w:val="71C033AA"/>
    <w:rsid w:val="7249173A"/>
    <w:rsid w:val="728531BA"/>
    <w:rsid w:val="72D134DE"/>
    <w:rsid w:val="734B3290"/>
    <w:rsid w:val="737F118B"/>
    <w:rsid w:val="75410FAC"/>
    <w:rsid w:val="76065B94"/>
    <w:rsid w:val="76D57A40"/>
    <w:rsid w:val="773E47C6"/>
    <w:rsid w:val="77E67A2B"/>
    <w:rsid w:val="780600CD"/>
    <w:rsid w:val="787D213D"/>
    <w:rsid w:val="78886D34"/>
    <w:rsid w:val="78F32400"/>
    <w:rsid w:val="79346574"/>
    <w:rsid w:val="797B41A3"/>
    <w:rsid w:val="79E41D48"/>
    <w:rsid w:val="7BBF2A6D"/>
    <w:rsid w:val="7C6D071B"/>
    <w:rsid w:val="7DCC1471"/>
    <w:rsid w:val="7E2B7BC1"/>
    <w:rsid w:val="7E582D05"/>
    <w:rsid w:val="7EDA196C"/>
    <w:rsid w:val="7F1629A4"/>
    <w:rsid w:val="7F21759B"/>
    <w:rsid w:val="7F4867B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楷体_GB2312"/>
      <w:sz w:val="28"/>
    </w:rPr>
  </w:style>
  <w:style w:type="paragraph" w:styleId="3">
    <w:name w:val="annotation text"/>
    <w:basedOn w:val="1"/>
    <w:link w:val="16"/>
    <w:qFormat/>
    <w:uiPriority w:val="99"/>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99"/>
    <w:rPr>
      <w:sz w:val="21"/>
      <w:szCs w:val="21"/>
    </w:rPr>
  </w:style>
  <w:style w:type="paragraph" w:customStyle="1" w:styleId="12">
    <w:name w:val="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3">
    <w:name w:val="页眉 字符"/>
    <w:link w:val="6"/>
    <w:qFormat/>
    <w:uiPriority w:val="0"/>
    <w:rPr>
      <w:kern w:val="2"/>
      <w:sz w:val="18"/>
      <w:szCs w:val="18"/>
    </w:rPr>
  </w:style>
  <w:style w:type="character" w:customStyle="1" w:styleId="14">
    <w:name w:val="页脚 字符1"/>
    <w:link w:val="5"/>
    <w:qFormat/>
    <w:uiPriority w:val="0"/>
    <w:rPr>
      <w:kern w:val="2"/>
      <w:sz w:val="18"/>
      <w:szCs w:val="18"/>
    </w:rPr>
  </w:style>
  <w:style w:type="character" w:customStyle="1" w:styleId="15">
    <w:name w:val="页脚 字符"/>
    <w:qFormat/>
    <w:uiPriority w:val="99"/>
  </w:style>
  <w:style w:type="character" w:customStyle="1" w:styleId="16">
    <w:name w:val="批注文字 字符"/>
    <w:basedOn w:val="10"/>
    <w:link w:val="3"/>
    <w:qFormat/>
    <w:uiPriority w:val="99"/>
    <w:rPr>
      <w:kern w:val="2"/>
      <w:sz w:val="21"/>
      <w:szCs w:val="24"/>
    </w:rPr>
  </w:style>
  <w:style w:type="character" w:customStyle="1" w:styleId="17">
    <w:name w:val="批注主题 字符"/>
    <w:basedOn w:val="16"/>
    <w:link w:val="7"/>
    <w:qFormat/>
    <w:uiPriority w:val="0"/>
    <w:rPr>
      <w:b/>
      <w:bCs/>
      <w:kern w:val="2"/>
      <w:sz w:val="21"/>
      <w:szCs w:val="24"/>
    </w:rPr>
  </w:style>
  <w:style w:type="paragraph" w:styleId="18">
    <w:name w:val="List Paragraph"/>
    <w:basedOn w:val="1"/>
    <w:qFormat/>
    <w:uiPriority w:val="34"/>
    <w:pPr>
      <w:ind w:firstLine="420" w:firstLineChars="200"/>
    </w:pPr>
  </w:style>
  <w:style w:type="table" w:customStyle="1" w:styleId="19">
    <w:name w:val="网格型1"/>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1">
    <w:name w:val="网格型2"/>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005表格后正文"/>
    <w:link w:val="23"/>
    <w:qFormat/>
    <w:uiPriority w:val="0"/>
    <w:pPr>
      <w:widowControl w:val="0"/>
      <w:spacing w:before="50" w:before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23">
    <w:name w:val="005表格后正文 Char"/>
    <w:link w:val="22"/>
    <w:qFormat/>
    <w:uiPriority w:val="0"/>
    <w:rPr>
      <w:rFonts w:ascii="Times New Roman" w:hAnsi="Times New Roman" w:eastAsia="宋体" w:cs="Times New Roman"/>
      <w:sz w:val="24"/>
      <w:szCs w:val="24"/>
    </w:rPr>
  </w:style>
  <w:style w:type="paragraph" w:customStyle="1" w:styleId="24">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2D1C-DD2D-4FDF-96EE-C34941BC4BC0}">
  <ds:schemaRefs/>
</ds:datastoreItem>
</file>

<file path=docProps/app.xml><?xml version="1.0" encoding="utf-8"?>
<Properties xmlns="http://schemas.openxmlformats.org/officeDocument/2006/extended-properties" xmlns:vt="http://schemas.openxmlformats.org/officeDocument/2006/docPropsVTypes">
  <Template>Normal.dotm</Template>
  <Company>debon</Company>
  <Pages>2</Pages>
  <Words>1210</Words>
  <Characters>1270</Characters>
  <Lines>9</Lines>
  <Paragraphs>2</Paragraphs>
  <TotalTime>102</TotalTime>
  <ScaleCrop>false</ScaleCrop>
  <LinksUpToDate>false</LinksUpToDate>
  <CharactersWithSpaces>1329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博隆技术</dc:creator>
  <cp:lastModifiedBy>林佳琪</cp:lastModifiedBy>
  <cp:lastPrinted>2009-06-22T07:04:00Z</cp:lastPrinted>
  <dcterms:modified xsi:type="dcterms:W3CDTF">2026-02-27T08:24:41Z</dcterms:modified>
  <cp:revision>713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eyJoZGlkIjoiYTQ3NWM1M2NjMzUyOTM5YzMwNzU3ZjdiODQ4NGIxMWUiLCJ1c2VySWQiOiIyMTUwMzE5NjUifQ==</vt:lpwstr>
  </property>
  <property fmtid="{D5CDD505-2E9C-101B-9397-08002B2CF9AE}" pid="4" name="ICV">
    <vt:lpwstr>AB6541D115FC4A419982ADBDA83A4B9B_12</vt:lpwstr>
  </property>
</Properties>
</file>