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C37" w14:textId="77777777" w:rsidR="003A6658" w:rsidRDefault="003A6658" w:rsidP="003A6658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color w:val="000000"/>
          <w:sz w:val="24"/>
        </w:rPr>
      </w:pPr>
      <w:r w:rsidRPr="006D4997"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 w:rsidR="00E506B1">
        <w:rPr>
          <w:rFonts w:ascii="宋体" w:hAnsi="宋体" w:hint="eastAsia"/>
          <w:b/>
          <w:bCs/>
          <w:iCs/>
          <w:color w:val="000000"/>
          <w:sz w:val="24"/>
        </w:rPr>
        <w:t>601619</w:t>
      </w:r>
      <w:r w:rsidRPr="006D4997"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证券简称：</w:t>
      </w:r>
      <w:r w:rsidR="00E506B1">
        <w:rPr>
          <w:rFonts w:ascii="宋体" w:hAnsi="宋体" w:hint="eastAsia"/>
          <w:b/>
          <w:bCs/>
          <w:iCs/>
          <w:color w:val="000000"/>
          <w:sz w:val="24"/>
        </w:rPr>
        <w:t>嘉泽新能</w:t>
      </w:r>
    </w:p>
    <w:p w14:paraId="38C987AD" w14:textId="77777777" w:rsidR="00BD1951" w:rsidRPr="006D4997" w:rsidRDefault="00BD1951" w:rsidP="003A6658">
      <w:pPr>
        <w:spacing w:beforeLines="50" w:before="156" w:afterLines="50" w:after="156" w:line="400" w:lineRule="exact"/>
        <w:rPr>
          <w:rFonts w:ascii="宋体" w:hAnsi="宋体" w:hint="eastAsia"/>
          <w:b/>
          <w:bCs/>
          <w:iCs/>
          <w:color w:val="000000"/>
          <w:sz w:val="24"/>
        </w:rPr>
      </w:pPr>
      <w:r w:rsidRPr="00BD1951">
        <w:rPr>
          <w:rFonts w:ascii="等线" w:hAnsi="等线" w:hint="eastAsia"/>
          <w:b/>
          <w:bCs/>
          <w:sz w:val="24"/>
        </w:rPr>
        <w:t>债券代码：</w:t>
      </w:r>
      <w:r w:rsidRPr="00BD1951">
        <w:rPr>
          <w:rFonts w:ascii="等线" w:hAnsi="等线" w:hint="eastAsia"/>
          <w:b/>
          <w:bCs/>
          <w:sz w:val="24"/>
        </w:rPr>
        <w:t xml:space="preserve">113039      </w:t>
      </w:r>
      <w:r>
        <w:rPr>
          <w:rFonts w:ascii="等线" w:hAnsi="等线" w:hint="eastAsia"/>
          <w:b/>
          <w:bCs/>
          <w:sz w:val="24"/>
        </w:rPr>
        <w:t xml:space="preserve">                         </w:t>
      </w:r>
      <w:r w:rsidRPr="00BD1951">
        <w:rPr>
          <w:rFonts w:ascii="等线" w:hAnsi="等线" w:hint="eastAsia"/>
          <w:b/>
          <w:bCs/>
          <w:sz w:val="24"/>
        </w:rPr>
        <w:t>债券简称：嘉泽转债</w:t>
      </w:r>
    </w:p>
    <w:p w14:paraId="2666CEB1" w14:textId="77777777" w:rsidR="003A6658" w:rsidRPr="006D4997" w:rsidRDefault="00170F85" w:rsidP="003A6658">
      <w:pPr>
        <w:spacing w:beforeLines="50" w:before="156" w:afterLines="50" w:after="156" w:line="400" w:lineRule="exact"/>
        <w:jc w:val="center"/>
        <w:rPr>
          <w:rFonts w:ascii="方正小标宋简体" w:eastAsia="方正小标宋简体" w:hAnsi="宋体" w:hint="eastAsia"/>
          <w:bCs/>
          <w:i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iCs/>
          <w:color w:val="000000"/>
          <w:sz w:val="36"/>
          <w:szCs w:val="36"/>
        </w:rPr>
        <w:t>嘉泽新</w:t>
      </w:r>
      <w:r w:rsidR="003A6658" w:rsidRPr="006D4997">
        <w:rPr>
          <w:rFonts w:ascii="方正小标宋简体" w:eastAsia="方正小标宋简体" w:hAnsi="宋体" w:hint="eastAsia"/>
          <w:bCs/>
          <w:iCs/>
          <w:color w:val="000000"/>
          <w:sz w:val="36"/>
          <w:szCs w:val="36"/>
        </w:rPr>
        <w:t>能源股份有限公司投资者关系活动记录表</w:t>
      </w:r>
    </w:p>
    <w:p w14:paraId="511423C8" w14:textId="77777777" w:rsidR="003A6658" w:rsidRDefault="003A6658" w:rsidP="003A6658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  编号：</w:t>
      </w:r>
      <w:r w:rsidR="001F2C3F">
        <w:rPr>
          <w:rFonts w:ascii="宋体" w:hAnsi="宋体" w:hint="eastAsia"/>
          <w:bCs/>
          <w:iCs/>
          <w:color w:val="000000"/>
          <w:sz w:val="24"/>
        </w:rPr>
        <w:t>2026-002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614"/>
      </w:tblGrid>
      <w:tr w:rsidR="003A6658" w:rsidRPr="00503651" w14:paraId="5DAEFBE9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470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投资者关系活动类别</w:t>
            </w:r>
          </w:p>
          <w:p w14:paraId="7A244BEC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8A0" w14:textId="77777777" w:rsidR="003A6658" w:rsidRPr="008E792D" w:rsidRDefault="003A665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 xml:space="preserve">特定对象调研       </w:t>
            </w:r>
            <w:r w:rsidR="008E792D">
              <w:rPr>
                <w:rFonts w:ascii="宋体" w:hAnsi="宋体" w:hint="eastAsia"/>
                <w:sz w:val="24"/>
              </w:rPr>
              <w:t xml:space="preserve">    </w:t>
            </w:r>
            <w:r w:rsidRPr="008E792D">
              <w:rPr>
                <w:rFonts w:ascii="宋体" w:hAnsi="宋体" w:hint="eastAsia"/>
                <w:sz w:val="24"/>
              </w:rPr>
              <w:t xml:space="preserve"> </w:t>
            </w:r>
            <w:r w:rsidR="00463FD6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0"/>
            </w:r>
            <w:r w:rsidRPr="008E792D">
              <w:rPr>
                <w:rFonts w:ascii="宋体" w:hAnsi="宋体" w:hint="eastAsia"/>
                <w:sz w:val="24"/>
              </w:rPr>
              <w:t>分析师会议</w:t>
            </w:r>
          </w:p>
          <w:p w14:paraId="522EE0C2" w14:textId="77777777" w:rsidR="003A6658" w:rsidRPr="008E792D" w:rsidRDefault="003A665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 xml:space="preserve">媒体采访            </w:t>
            </w:r>
            <w:r w:rsidR="008E792D">
              <w:rPr>
                <w:rFonts w:ascii="宋体" w:hAnsi="宋体" w:hint="eastAsia"/>
                <w:sz w:val="24"/>
              </w:rPr>
              <w:t xml:space="preserve">    </w:t>
            </w: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>业绩说明会</w:t>
            </w:r>
          </w:p>
          <w:p w14:paraId="6B715C20" w14:textId="77777777" w:rsidR="003A6658" w:rsidRPr="008E792D" w:rsidRDefault="003A665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 xml:space="preserve">新闻发布会          </w:t>
            </w:r>
            <w:r w:rsidR="008E792D">
              <w:rPr>
                <w:rFonts w:ascii="宋体" w:hAnsi="宋体" w:hint="eastAsia"/>
                <w:sz w:val="24"/>
              </w:rPr>
              <w:t xml:space="preserve">    </w:t>
            </w: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>路演活动</w:t>
            </w:r>
          </w:p>
          <w:p w14:paraId="76E815CF" w14:textId="77777777" w:rsidR="003A6658" w:rsidRPr="008E792D" w:rsidRDefault="003A6658" w:rsidP="007940A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>现场参观</w:t>
            </w: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ab/>
            </w:r>
          </w:p>
          <w:p w14:paraId="40998C7A" w14:textId="77777777" w:rsidR="003A6658" w:rsidRPr="00503651" w:rsidRDefault="003A6658" w:rsidP="007940A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 w:rsidRPr="008E792D">
              <w:rPr>
                <w:rFonts w:ascii="宋体" w:hAnsi="宋体" w:hint="eastAsia"/>
                <w:sz w:val="24"/>
              </w:rPr>
              <w:t>其他</w:t>
            </w:r>
            <w:r w:rsidRPr="008E792D">
              <w:rPr>
                <w:rFonts w:ascii="宋体" w:hAnsi="宋体" w:hint="eastAsia"/>
                <w:sz w:val="24"/>
                <w:u w:val="single"/>
              </w:rPr>
              <w:t xml:space="preserve">                           </w:t>
            </w:r>
          </w:p>
        </w:tc>
      </w:tr>
      <w:tr w:rsidR="003A6658" w:rsidRPr="00503651" w14:paraId="6601D451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0073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F759" w14:textId="77777777" w:rsidR="003A6658" w:rsidRPr="00503651" w:rsidRDefault="00C5614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56148">
              <w:rPr>
                <w:rFonts w:ascii="宋体" w:hAnsi="宋体" w:hint="eastAsia"/>
                <w:bCs/>
                <w:iCs/>
                <w:color w:val="000000"/>
                <w:sz w:val="24"/>
              </w:rPr>
              <w:t>上海吉渊投资管理有限公司陈玉林；华泰保兴基金管理有限公司池嘉莹；杭州融泰云臻私募基金管理有限公司郭凤芹；融通基金管理有限公司李文海；摩根士丹利基金管理(中国)有限公司李子扬；上海银叶投资管理有限公司刘欢宇；汇添富基金管理股份有限公司王旭冉；深圳市鼎泰佳创科技有限公司武凡；上海方御投资管理有限公司朱俊</w:t>
            </w:r>
            <w:r w:rsidR="00EB1987"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 w:rsidR="00EB1987" w:rsidRPr="00EB1987">
              <w:rPr>
                <w:rFonts w:ascii="宋体" w:hAnsi="宋体" w:hint="eastAsia"/>
                <w:bCs/>
                <w:iCs/>
                <w:color w:val="000000"/>
                <w:sz w:val="24"/>
              </w:rPr>
              <w:t>天风证券股份有限公司</w:t>
            </w:r>
            <w:r w:rsidR="00EB1987">
              <w:rPr>
                <w:rFonts w:ascii="宋体" w:hAnsi="宋体" w:hint="eastAsia"/>
                <w:bCs/>
                <w:iCs/>
                <w:color w:val="000000"/>
                <w:sz w:val="24"/>
              </w:rPr>
              <w:t>杨志芳</w:t>
            </w:r>
            <w:r w:rsidR="008B124B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3A6658" w:rsidRPr="00503651" w14:paraId="4B49A59E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1019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85C5" w14:textId="77777777" w:rsidR="003A6658" w:rsidRPr="00503651" w:rsidRDefault="00013D3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026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年3月3日</w:t>
            </w:r>
            <w:r w:rsidR="00C63E7A">
              <w:rPr>
                <w:rFonts w:ascii="宋体" w:hAnsi="宋体" w:hint="eastAsia"/>
                <w:bCs/>
                <w:iCs/>
                <w:color w:val="000000"/>
                <w:sz w:val="24"/>
              </w:rPr>
              <w:t>20：00</w:t>
            </w:r>
          </w:p>
        </w:tc>
      </w:tr>
      <w:tr w:rsidR="003A6658" w:rsidRPr="00503651" w14:paraId="4B39D06F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6A13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646" w14:textId="77777777" w:rsidR="003A6658" w:rsidRPr="00503651" w:rsidRDefault="00013D3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3A6658" w:rsidRPr="00503651" w14:paraId="2FB5AC29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679" w14:textId="77777777" w:rsidR="003A6658" w:rsidRPr="00503651" w:rsidRDefault="003A665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02C2" w14:textId="77777777" w:rsidR="003A6658" w:rsidRPr="00503651" w:rsidRDefault="00013D38" w:rsidP="007940A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董事会秘书王潇逸</w:t>
            </w:r>
          </w:p>
        </w:tc>
      </w:tr>
      <w:tr w:rsidR="003A6658" w:rsidRPr="00503651" w14:paraId="103D6E87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902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2C2132F2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300" w14:textId="77777777" w:rsidR="001F2C3F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问题一</w:t>
            </w:r>
            <w:r w:rsidR="00DE3513"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：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请问公司黑龙江鸡西项目的具体情况是什么样的？预计什么时候可以产出？投资强度大概是什么规模？</w:t>
            </w:r>
          </w:p>
          <w:p w14:paraId="392D4C9C" w14:textId="77777777" w:rsidR="00E4667E" w:rsidRPr="008E792D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回复：</w:t>
            </w:r>
            <w:r w:rsidR="003927FE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="003927FE" w:rsidRPr="008E792D">
              <w:rPr>
                <w:rFonts w:ascii="宋体" w:hAnsi="宋体"/>
                <w:bCs/>
                <w:iCs/>
                <w:color w:val="000000"/>
                <w:sz w:val="24"/>
              </w:rPr>
              <w:t>黑龙江省鸡西市鸡东县30万吨绿氢醇航油化工联产项目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计划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总投资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约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355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,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660.38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万元</w:t>
            </w:r>
            <w:bookmarkStart w:id="0" w:name="OLE_LINK10"/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（最终以项目建设实际投资为准）</w:t>
            </w:r>
            <w:bookmarkEnd w:id="0"/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，公司将视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项目进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展情况分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期分批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投入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资金</w:t>
            </w:r>
            <w:r w:rsidR="00E4667E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。项目</w:t>
            </w:r>
            <w:r w:rsidR="003927FE" w:rsidRPr="008E792D">
              <w:rPr>
                <w:rFonts w:ascii="宋体" w:hAnsi="宋体"/>
                <w:bCs/>
                <w:iCs/>
                <w:color w:val="000000"/>
                <w:sz w:val="24"/>
              </w:rPr>
              <w:t>采用生物质秸秆、玉米芯等作为原料，通过成熟的酶解发酵及气化合成工艺生产绿色乙醇和绿色甲醇。</w:t>
            </w:r>
          </w:p>
          <w:p w14:paraId="19E0CCB3" w14:textId="77777777" w:rsidR="00E4667E" w:rsidRDefault="00E4667E" w:rsidP="007940A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001E9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公司计划近期全面启动工程手续申报、土地出让、详细设</w:t>
            </w:r>
            <w:r w:rsidRPr="008001E9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计、长周期设备采购等各项工作，计划于2026年5月开始土建施工，计划于2027年10月完成全部土建及设备安装工作，进入调试运行阶段，并计划于2027年底启动生产。</w:t>
            </w:r>
          </w:p>
          <w:p w14:paraId="6019A234" w14:textId="77777777" w:rsidR="004361FE" w:rsidRDefault="004361FE" w:rsidP="007940A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5270810D" w14:textId="77777777" w:rsidR="00013D38" w:rsidRPr="008E792D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问题二：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公司黑龙江项目的</w:t>
            </w:r>
            <w:r w:rsidR="00013D38" w:rsidRPr="00E4667E">
              <w:rPr>
                <w:rFonts w:ascii="宋体" w:hAnsi="宋体" w:hint="eastAsia"/>
                <w:bCs/>
                <w:iCs/>
                <w:color w:val="000000"/>
                <w:sz w:val="24"/>
              </w:rPr>
              <w:t>大概工艺路线是什么样的？</w:t>
            </w:r>
          </w:p>
          <w:p w14:paraId="4113B999" w14:textId="77777777" w:rsidR="00E4667E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回复：</w:t>
            </w:r>
            <w:r w:rsidR="00E4667E" w:rsidRPr="008E792D">
              <w:rPr>
                <w:rFonts w:ascii="宋体" w:hAnsi="宋体"/>
                <w:bCs/>
                <w:iCs/>
                <w:color w:val="000000"/>
                <w:sz w:val="24"/>
              </w:rPr>
              <w:t>项目采用生物质秸秆、玉米芯等作为原料，通过成熟的酶解发酵及气化合成工艺生产绿色乙醇和绿色甲醇。虽二者相结合属于创新应用，但是甲醇合成与乙醇合成技术均为成熟工艺，两者的结合还可以实现更大范围的节能，具有更好的经济性。公司计划与国内、国际领先的技术提供商合作，并已与知名院校和科研机构达成技术支撑协议，为项目实施提供技术保障。</w:t>
            </w:r>
          </w:p>
          <w:p w14:paraId="2CC3EF4F" w14:textId="77777777" w:rsidR="004361FE" w:rsidRDefault="004361FE" w:rsidP="007940A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73C08389" w14:textId="77777777" w:rsidR="00013D38" w:rsidRPr="008E792D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问题三：</w:t>
            </w:r>
            <w:r w:rsidR="00013D38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公司生产的纤维素乙醇下游可以在什么场景应用？</w:t>
            </w:r>
          </w:p>
          <w:p w14:paraId="3B8316CE" w14:textId="77777777" w:rsidR="00CC2135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回复：</w:t>
            </w:r>
            <w:r w:rsidR="00013D38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纤维素乙醇可以直接销售，也可以通过进一步深加工生产SAF，同时也可以向远洋船运燃料和汽油</w:t>
            </w:r>
            <w:r w:rsidR="008026B9">
              <w:rPr>
                <w:rFonts w:ascii="宋体" w:hAnsi="宋体" w:hint="eastAsia"/>
                <w:bCs/>
                <w:iCs/>
                <w:color w:val="000000"/>
                <w:sz w:val="24"/>
              </w:rPr>
              <w:t>等</w:t>
            </w:r>
            <w:r w:rsidR="00013D38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进行掺混</w:t>
            </w:r>
            <w:r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使用</w:t>
            </w:r>
            <w:r w:rsidR="00013D38" w:rsidRPr="008E792D"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</w:p>
          <w:p w14:paraId="2F0EB660" w14:textId="77777777" w:rsidR="004361FE" w:rsidRPr="00D1590D" w:rsidRDefault="004361FE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/>
                <w:iCs/>
                <w:color w:val="000000"/>
                <w:sz w:val="24"/>
              </w:rPr>
            </w:pPr>
          </w:p>
          <w:p w14:paraId="62775D09" w14:textId="77777777" w:rsidR="003A6658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问题四：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想了解下公司的鸡西项目是否完成</w:t>
            </w:r>
            <w:r w:rsidR="008B124B">
              <w:rPr>
                <w:rFonts w:ascii="宋体" w:hAnsi="宋体" w:hint="eastAsia"/>
                <w:bCs/>
                <w:iCs/>
                <w:color w:val="000000"/>
                <w:sz w:val="24"/>
              </w:rPr>
              <w:t>了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ISCC的相关绿色认证？</w:t>
            </w:r>
          </w:p>
          <w:p w14:paraId="18390C25" w14:textId="77777777" w:rsidR="00013D38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回复：</w:t>
            </w:r>
            <w:r w:rsidR="008B124B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公司尚未获得ISCC的相关绿色认证。</w:t>
            </w:r>
            <w:r w:rsidR="00013D38" w:rsidRPr="003927FE">
              <w:rPr>
                <w:rFonts w:ascii="宋体" w:hAnsi="宋体" w:hint="eastAsia"/>
                <w:bCs/>
                <w:iCs/>
                <w:color w:val="000000"/>
                <w:sz w:val="24"/>
              </w:rPr>
              <w:t>按照ISCC的认证规则，</w:t>
            </w:r>
            <w:r w:rsidR="00D91BE6" w:rsidRPr="003927FE">
              <w:rPr>
                <w:rFonts w:ascii="宋体" w:hAnsi="宋体" w:hint="eastAsia"/>
                <w:bCs/>
                <w:iCs/>
                <w:color w:val="000000"/>
                <w:sz w:val="24"/>
              </w:rPr>
              <w:t>待生产启动并稳定运行后，方可启动认证申请流程。</w:t>
            </w:r>
            <w:r w:rsidR="00A54057" w:rsidRPr="00A54057">
              <w:rPr>
                <w:rFonts w:ascii="宋体" w:hAnsi="宋体" w:hint="eastAsia"/>
                <w:bCs/>
                <w:iCs/>
                <w:color w:val="000000"/>
                <w:sz w:val="24"/>
              </w:rPr>
              <w:t>为了确保相关工作的稳妥可靠，我们专门聘请了第三方</w:t>
            </w:r>
            <w:r w:rsidR="0050757C">
              <w:rPr>
                <w:rFonts w:ascii="宋体" w:hAnsi="宋体" w:hint="eastAsia"/>
                <w:bCs/>
                <w:iCs/>
                <w:color w:val="000000"/>
                <w:sz w:val="24"/>
              </w:rPr>
              <w:t>ISCC</w:t>
            </w:r>
            <w:r w:rsidR="00A54057" w:rsidRPr="00A54057">
              <w:rPr>
                <w:rFonts w:ascii="宋体" w:hAnsi="宋体" w:hint="eastAsia"/>
                <w:bCs/>
                <w:iCs/>
                <w:color w:val="000000"/>
                <w:sz w:val="24"/>
              </w:rPr>
              <w:t>机构进行全过程咨询服务。</w:t>
            </w:r>
          </w:p>
          <w:p w14:paraId="5F93B42B" w14:textId="77777777" w:rsidR="004361FE" w:rsidRDefault="004361FE" w:rsidP="007940A0">
            <w:pPr>
              <w:spacing w:line="360" w:lineRule="auto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4073AF76" w14:textId="0DBBC632" w:rsidR="00013D38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问题五：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请问公司鸡西项目每年需要多少的秸秆？秸秆资源如</w:t>
            </w:r>
            <w:r w:rsidR="0022657E">
              <w:rPr>
                <w:rFonts w:ascii="宋体" w:hAnsi="宋体" w:hint="eastAsia"/>
                <w:bCs/>
                <w:iCs/>
                <w:color w:val="000000"/>
                <w:sz w:val="24"/>
              </w:rPr>
              <w:t>何</w:t>
            </w:r>
            <w:r w:rsidR="00013D38">
              <w:rPr>
                <w:rFonts w:ascii="宋体" w:hAnsi="宋体" w:hint="eastAsia"/>
                <w:bCs/>
                <w:iCs/>
                <w:color w:val="000000"/>
                <w:sz w:val="24"/>
              </w:rPr>
              <w:t>保障？</w:t>
            </w:r>
          </w:p>
          <w:p w14:paraId="311F138A" w14:textId="77777777" w:rsidR="003A6658" w:rsidRPr="00503651" w:rsidRDefault="008F0179" w:rsidP="007940A0">
            <w:pPr>
              <w:spacing w:line="360" w:lineRule="auto"/>
              <w:ind w:firstLineChars="200" w:firstLine="482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B56042">
              <w:rPr>
                <w:rFonts w:ascii="宋体" w:hAnsi="宋体" w:hint="eastAsia"/>
                <w:b/>
                <w:iCs/>
                <w:color w:val="000000"/>
                <w:sz w:val="24"/>
              </w:rPr>
              <w:t>回复：</w:t>
            </w:r>
            <w:r w:rsidR="00B17D1C" w:rsidRPr="000026F7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公司黑龙江省鸡西市鸡东县30万吨绿氢醇航油化工联产项目对应秸秆消耗量约为150万吨左右；</w:t>
            </w:r>
            <w:r w:rsidR="00B17D1C" w:rsidRPr="000026F7">
              <w:rPr>
                <w:rFonts w:ascii="宋体" w:hAnsi="宋体"/>
                <w:bCs/>
                <w:iCs/>
                <w:color w:val="000000"/>
                <w:sz w:val="24"/>
              </w:rPr>
              <w:t>项目</w:t>
            </w:r>
            <w:r w:rsidR="00B17D1C" w:rsidRPr="008E792D">
              <w:rPr>
                <w:rFonts w:ascii="宋体" w:hAnsi="宋体"/>
                <w:bCs/>
                <w:iCs/>
                <w:color w:val="000000"/>
                <w:sz w:val="24"/>
              </w:rPr>
              <w:t>选址</w:t>
            </w:r>
            <w:r w:rsidR="00B17D1C">
              <w:rPr>
                <w:rFonts w:ascii="宋体" w:hAnsi="宋体" w:hint="eastAsia"/>
                <w:bCs/>
                <w:iCs/>
                <w:color w:val="000000"/>
                <w:sz w:val="24"/>
              </w:rPr>
              <w:t>位于</w:t>
            </w:r>
            <w:r w:rsidR="00B17D1C" w:rsidRPr="008E792D">
              <w:rPr>
                <w:rFonts w:ascii="宋体" w:hAnsi="宋体"/>
                <w:bCs/>
                <w:iCs/>
                <w:color w:val="000000"/>
                <w:sz w:val="24"/>
              </w:rPr>
              <w:t>黑龙江省粮食作物主产区，当地秸秆资源丰富，可为项目提供充足的原</w:t>
            </w:r>
            <w:r w:rsidR="00B17D1C" w:rsidRPr="008001E9">
              <w:rPr>
                <w:rFonts w:ascii="宋体" w:hAnsi="宋体"/>
                <w:bCs/>
                <w:iCs/>
                <w:color w:val="000000"/>
                <w:sz w:val="24"/>
              </w:rPr>
              <w:t>料保障。</w:t>
            </w:r>
          </w:p>
        </w:tc>
      </w:tr>
      <w:tr w:rsidR="003A6658" w:rsidRPr="00503651" w14:paraId="35840D3F" w14:textId="77777777" w:rsidTr="003927F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D8E8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503651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80A" w14:textId="77777777" w:rsidR="003A6658" w:rsidRPr="00503651" w:rsidRDefault="003A6658" w:rsidP="003A665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</w:tc>
      </w:tr>
    </w:tbl>
    <w:p w14:paraId="25FD0AC5" w14:textId="77777777" w:rsidR="003A6658" w:rsidRDefault="003A6658" w:rsidP="00CC2135"/>
    <w:sectPr w:rsidR="003A66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E919" w14:textId="77777777" w:rsidR="002C1017" w:rsidRDefault="002C1017">
      <w:r>
        <w:separator/>
      </w:r>
    </w:p>
  </w:endnote>
  <w:endnote w:type="continuationSeparator" w:id="0">
    <w:p w14:paraId="2A215242" w14:textId="77777777" w:rsidR="002C1017" w:rsidRDefault="002C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CCDA" w14:textId="77777777" w:rsidR="003A6658" w:rsidRDefault="003A6658" w:rsidP="003A6658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70F85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CEC1" w14:textId="77777777" w:rsidR="002C1017" w:rsidRDefault="002C1017">
      <w:r>
        <w:separator/>
      </w:r>
    </w:p>
  </w:footnote>
  <w:footnote w:type="continuationSeparator" w:id="0">
    <w:p w14:paraId="7588DBD7" w14:textId="77777777" w:rsidR="002C1017" w:rsidRDefault="002C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658"/>
    <w:rsid w:val="000026F7"/>
    <w:rsid w:val="00013D38"/>
    <w:rsid w:val="000C0950"/>
    <w:rsid w:val="001342A2"/>
    <w:rsid w:val="001376FE"/>
    <w:rsid w:val="00170F85"/>
    <w:rsid w:val="00190A6B"/>
    <w:rsid w:val="001F2C3F"/>
    <w:rsid w:val="0022657E"/>
    <w:rsid w:val="002C1017"/>
    <w:rsid w:val="00335F6A"/>
    <w:rsid w:val="00360D74"/>
    <w:rsid w:val="003641AC"/>
    <w:rsid w:val="003927FE"/>
    <w:rsid w:val="003A6658"/>
    <w:rsid w:val="003A75D2"/>
    <w:rsid w:val="004361FE"/>
    <w:rsid w:val="00440FAE"/>
    <w:rsid w:val="00463FD6"/>
    <w:rsid w:val="004830EF"/>
    <w:rsid w:val="004B1AA6"/>
    <w:rsid w:val="004C0C77"/>
    <w:rsid w:val="004C451A"/>
    <w:rsid w:val="0050757C"/>
    <w:rsid w:val="006A4CFE"/>
    <w:rsid w:val="006C78B8"/>
    <w:rsid w:val="006F203B"/>
    <w:rsid w:val="00725395"/>
    <w:rsid w:val="007940A0"/>
    <w:rsid w:val="007E7510"/>
    <w:rsid w:val="008026B9"/>
    <w:rsid w:val="0083716C"/>
    <w:rsid w:val="008B124B"/>
    <w:rsid w:val="008B6B1F"/>
    <w:rsid w:val="008E792D"/>
    <w:rsid w:val="008F0179"/>
    <w:rsid w:val="00931DC4"/>
    <w:rsid w:val="009430B7"/>
    <w:rsid w:val="009859C0"/>
    <w:rsid w:val="009E50A5"/>
    <w:rsid w:val="009F6E9E"/>
    <w:rsid w:val="00A54057"/>
    <w:rsid w:val="00A81211"/>
    <w:rsid w:val="00AE1484"/>
    <w:rsid w:val="00B17D1C"/>
    <w:rsid w:val="00B56042"/>
    <w:rsid w:val="00BC52F9"/>
    <w:rsid w:val="00BD1951"/>
    <w:rsid w:val="00BD4633"/>
    <w:rsid w:val="00BF3FF6"/>
    <w:rsid w:val="00C359D9"/>
    <w:rsid w:val="00C56148"/>
    <w:rsid w:val="00C63E7A"/>
    <w:rsid w:val="00CB0C4B"/>
    <w:rsid w:val="00CC2135"/>
    <w:rsid w:val="00D1590D"/>
    <w:rsid w:val="00D62F4A"/>
    <w:rsid w:val="00D91BE6"/>
    <w:rsid w:val="00DE3513"/>
    <w:rsid w:val="00E4667E"/>
    <w:rsid w:val="00E506B1"/>
    <w:rsid w:val="00E53007"/>
    <w:rsid w:val="00E80F53"/>
    <w:rsid w:val="00E823CE"/>
    <w:rsid w:val="00EB1987"/>
    <w:rsid w:val="00EB2E3D"/>
    <w:rsid w:val="00EE574C"/>
    <w:rsid w:val="00F91FF3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19A9"/>
  <w15:chartTrackingRefBased/>
  <w15:docId w15:val="{27A8CE2C-B4C3-4931-B783-ABC40E82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6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A6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A6658"/>
  </w:style>
  <w:style w:type="paragraph" w:styleId="a5">
    <w:name w:val="header"/>
    <w:basedOn w:val="a"/>
    <w:link w:val="a6"/>
    <w:rsid w:val="00BD19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D19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714</Characters>
  <Application>Microsoft Office Word</Application>
  <DocSecurity>0</DocSecurity>
  <Lines>47</Lines>
  <Paragraphs>36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lws</dc:creator>
  <cp:keywords/>
  <dc:description/>
  <cp:lastModifiedBy>wylws0862@163.com</cp:lastModifiedBy>
  <cp:revision>3</cp:revision>
  <dcterms:created xsi:type="dcterms:W3CDTF">2026-03-06T12:18:00Z</dcterms:created>
  <dcterms:modified xsi:type="dcterms:W3CDTF">2026-03-06T12:21:00Z</dcterms:modified>
</cp:coreProperties>
</file>