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84A84">
      <w:pPr>
        <w:spacing w:line="360" w:lineRule="auto"/>
        <w:rPr>
          <w:rFonts w:ascii="宋体" w:hAnsi="宋体"/>
          <w:b/>
          <w:sz w:val="24"/>
          <w:szCs w:val="28"/>
        </w:rPr>
      </w:pPr>
      <w:bookmarkStart w:id="0" w:name="_bookmark11"/>
      <w:bookmarkEnd w:id="0"/>
      <w:r>
        <w:rPr>
          <w:rFonts w:ascii="宋体" w:hAnsi="宋体"/>
          <w:b/>
          <w:sz w:val="24"/>
          <w:szCs w:val="28"/>
        </w:rPr>
        <w:t>证券代码：</w:t>
      </w:r>
      <w:r>
        <w:rPr>
          <w:rFonts w:hint="eastAsia" w:ascii="宋体" w:hAnsi="宋体"/>
          <w:b/>
          <w:sz w:val="24"/>
          <w:szCs w:val="28"/>
        </w:rPr>
        <w:t>603334</w:t>
      </w:r>
      <w:r>
        <w:rPr>
          <w:rFonts w:ascii="宋体" w:hAnsi="宋体"/>
          <w:b/>
          <w:sz w:val="24"/>
          <w:szCs w:val="28"/>
        </w:rPr>
        <w:t xml:space="preserve">                                  证券简称：</w:t>
      </w:r>
      <w:r>
        <w:rPr>
          <w:rFonts w:hint="eastAsia" w:ascii="宋体" w:hAnsi="宋体"/>
          <w:b/>
          <w:sz w:val="24"/>
          <w:szCs w:val="28"/>
        </w:rPr>
        <w:t>丰倍生物</w:t>
      </w:r>
    </w:p>
    <w:p w14:paraId="24CFA12B">
      <w:pPr>
        <w:spacing w:before="156" w:beforeLines="50"/>
        <w:ind w:firstLine="0" w:firstLineChars="0"/>
        <w:jc w:val="center"/>
        <w:rPr>
          <w:b/>
          <w:sz w:val="28"/>
          <w:szCs w:val="28"/>
        </w:rPr>
      </w:pPr>
      <w:r>
        <w:rPr>
          <w:rFonts w:hint="eastAsia"/>
          <w:b/>
          <w:sz w:val="28"/>
          <w:szCs w:val="28"/>
        </w:rPr>
        <w:t>苏州丰倍生物科技股份有限公司</w:t>
      </w:r>
    </w:p>
    <w:p w14:paraId="4C66A1B9">
      <w:pPr>
        <w:ind w:firstLine="0" w:firstLineChars="0"/>
        <w:jc w:val="center"/>
        <w:rPr>
          <w:b/>
          <w:sz w:val="28"/>
          <w:szCs w:val="28"/>
        </w:rPr>
      </w:pPr>
      <w:r>
        <w:rPr>
          <w:rFonts w:hint="eastAsia"/>
          <w:b/>
          <w:sz w:val="28"/>
          <w:szCs w:val="28"/>
        </w:rPr>
        <w:t>投资者关系活动记录表</w:t>
      </w:r>
    </w:p>
    <w:p w14:paraId="18570B67">
      <w:pPr>
        <w:ind w:firstLine="0" w:firstLineChars="0"/>
        <w:jc w:val="right"/>
        <w:rPr>
          <w:b/>
          <w:sz w:val="24"/>
          <w:szCs w:val="28"/>
        </w:rPr>
      </w:pPr>
      <w:r>
        <w:rPr>
          <w:b/>
          <w:sz w:val="24"/>
          <w:szCs w:val="28"/>
        </w:rPr>
        <w:t>编号：</w:t>
      </w:r>
      <w:r>
        <w:rPr>
          <w:rFonts w:ascii="宋体" w:hAnsi="宋体"/>
          <w:b/>
          <w:sz w:val="24"/>
          <w:szCs w:val="28"/>
        </w:rPr>
        <w:t>202</w:t>
      </w:r>
      <w:r>
        <w:rPr>
          <w:rFonts w:hint="eastAsia" w:ascii="宋体" w:hAnsi="宋体"/>
          <w:b/>
          <w:sz w:val="24"/>
          <w:szCs w:val="28"/>
        </w:rPr>
        <w:t>6</w:t>
      </w:r>
      <w:r>
        <w:rPr>
          <w:rFonts w:ascii="宋体" w:hAnsi="宋体"/>
          <w:b/>
          <w:sz w:val="24"/>
          <w:szCs w:val="28"/>
        </w:rPr>
        <w:t>-0</w:t>
      </w:r>
      <w:r>
        <w:rPr>
          <w:rFonts w:hint="eastAsia" w:ascii="宋体" w:hAnsi="宋体"/>
          <w:b/>
          <w:sz w:val="24"/>
          <w:szCs w:val="28"/>
        </w:rPr>
        <w:t>02</w:t>
      </w:r>
    </w:p>
    <w:tbl>
      <w:tblPr>
        <w:tblStyle w:val="8"/>
        <w:tblW w:w="935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58"/>
        <w:gridCol w:w="6095"/>
      </w:tblGrid>
      <w:tr w14:paraId="7B3C5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0" w:hRule="atLeast"/>
          <w:jc w:val="center"/>
        </w:trPr>
        <w:tc>
          <w:tcPr>
            <w:tcW w:w="3258" w:type="dxa"/>
            <w:vAlign w:val="center"/>
          </w:tcPr>
          <w:p w14:paraId="5E5D360C">
            <w:pPr>
              <w:widowControl/>
              <w:kinsoku w:val="0"/>
              <w:autoSpaceDE w:val="0"/>
              <w:autoSpaceDN w:val="0"/>
              <w:adjustRightInd w:val="0"/>
              <w:snapToGrid w:val="0"/>
              <w:spacing w:before="75" w:line="227" w:lineRule="auto"/>
              <w:ind w:firstLine="260" w:firstLineChars="100"/>
              <w:textAlignment w:val="baseline"/>
              <w:rPr>
                <w:rFonts w:ascii="宋体" w:hAnsi="宋体"/>
                <w:snapToGrid w:val="0"/>
                <w:color w:val="000000"/>
                <w:kern w:val="0"/>
                <w:sz w:val="24"/>
              </w:rPr>
            </w:pPr>
            <w:r>
              <w:rPr>
                <w:rFonts w:ascii="宋体" w:hAnsi="宋体"/>
                <w:snapToGrid w:val="0"/>
                <w:color w:val="000000"/>
                <w:spacing w:val="10"/>
                <w:kern w:val="0"/>
                <w:sz w:val="24"/>
                <w14:textOutline w14:w="4356" w14:cap="sq" w14:cmpd="sng" w14:algn="ctr">
                  <w14:solidFill>
                    <w14:srgbClr w14:val="000000"/>
                  </w14:solidFill>
                  <w14:prstDash w14:val="solid"/>
                  <w14:bevel/>
                </w14:textOutline>
              </w:rPr>
              <w:t>投资者关系活动类别</w:t>
            </w:r>
          </w:p>
        </w:tc>
        <w:tc>
          <w:tcPr>
            <w:tcW w:w="6095" w:type="dxa"/>
            <w:vAlign w:val="center"/>
          </w:tcPr>
          <w:p w14:paraId="38EF5D13">
            <w:pPr>
              <w:widowControl/>
              <w:kinsoku w:val="0"/>
              <w:autoSpaceDE w:val="0"/>
              <w:autoSpaceDN w:val="0"/>
              <w:adjustRightInd w:val="0"/>
              <w:snapToGrid w:val="0"/>
              <w:spacing w:before="75" w:line="227" w:lineRule="auto"/>
              <w:ind w:left="343"/>
              <w:textAlignment w:val="baseline"/>
              <w:rPr>
                <w:rFonts w:ascii="宋体" w:hAnsi="宋体"/>
                <w:snapToGrid w:val="0"/>
                <w:color w:val="000000"/>
                <w:spacing w:val="7"/>
                <w:kern w:val="0"/>
                <w:sz w:val="24"/>
              </w:rPr>
            </w:pPr>
            <w:r>
              <w:rPr>
                <w:rFonts w:hint="eastAsia" w:ascii="MS Gothic" w:hAnsi="MS Gothic"/>
                <w:sz w:val="24"/>
              </w:rPr>
              <w:t>☑</w:t>
            </w:r>
            <w:r>
              <w:rPr>
                <w:rFonts w:ascii="宋体" w:hAnsi="宋体"/>
                <w:snapToGrid w:val="0"/>
                <w:color w:val="000000"/>
                <w:spacing w:val="7"/>
                <w:kern w:val="0"/>
                <w:sz w:val="24"/>
              </w:rPr>
              <w:t>特定对象调研        □分析师会议</w:t>
            </w:r>
          </w:p>
          <w:p w14:paraId="51D27F43">
            <w:pPr>
              <w:widowControl/>
              <w:kinsoku w:val="0"/>
              <w:autoSpaceDE w:val="0"/>
              <w:autoSpaceDN w:val="0"/>
              <w:adjustRightInd w:val="0"/>
              <w:snapToGrid w:val="0"/>
              <w:spacing w:before="182" w:line="227" w:lineRule="auto"/>
              <w:ind w:left="343"/>
              <w:textAlignment w:val="baseline"/>
              <w:rPr>
                <w:rFonts w:ascii="宋体" w:hAnsi="宋体"/>
                <w:snapToGrid w:val="0"/>
                <w:color w:val="000000"/>
                <w:spacing w:val="7"/>
                <w:kern w:val="0"/>
                <w:sz w:val="24"/>
              </w:rPr>
            </w:pPr>
            <w:r>
              <w:rPr>
                <w:rFonts w:hint="eastAsia" w:ascii="宋体" w:hAnsi="宋体"/>
                <w:snapToGrid w:val="0"/>
                <w:color w:val="000000"/>
                <w:spacing w:val="7"/>
                <w:kern w:val="0"/>
                <w:sz w:val="24"/>
              </w:rPr>
              <w:t>□</w:t>
            </w:r>
            <w:r>
              <w:rPr>
                <w:rFonts w:ascii="宋体" w:hAnsi="宋体"/>
                <w:snapToGrid w:val="0"/>
                <w:color w:val="000000"/>
                <w:spacing w:val="7"/>
                <w:kern w:val="0"/>
                <w:sz w:val="24"/>
              </w:rPr>
              <w:t>媒体采访            □业绩说明会</w:t>
            </w:r>
          </w:p>
          <w:p w14:paraId="1369139F">
            <w:pPr>
              <w:widowControl/>
              <w:kinsoku w:val="0"/>
              <w:autoSpaceDE w:val="0"/>
              <w:autoSpaceDN w:val="0"/>
              <w:adjustRightInd w:val="0"/>
              <w:snapToGrid w:val="0"/>
              <w:spacing w:before="185" w:line="227" w:lineRule="auto"/>
              <w:ind w:left="343"/>
              <w:textAlignment w:val="baseline"/>
              <w:rPr>
                <w:rFonts w:ascii="宋体" w:hAnsi="宋体"/>
                <w:snapToGrid w:val="0"/>
                <w:color w:val="000000"/>
                <w:spacing w:val="7"/>
                <w:kern w:val="0"/>
                <w:sz w:val="24"/>
              </w:rPr>
            </w:pPr>
            <w:r>
              <w:rPr>
                <w:rFonts w:ascii="宋体" w:hAnsi="宋体"/>
                <w:snapToGrid w:val="0"/>
                <w:color w:val="000000"/>
                <w:spacing w:val="7"/>
                <w:kern w:val="0"/>
                <w:sz w:val="24"/>
              </w:rPr>
              <w:t>□新闻发布会          □路演活动</w:t>
            </w:r>
          </w:p>
          <w:p w14:paraId="41226BEA">
            <w:pPr>
              <w:widowControl/>
              <w:kinsoku w:val="0"/>
              <w:autoSpaceDE w:val="0"/>
              <w:autoSpaceDN w:val="0"/>
              <w:adjustRightInd w:val="0"/>
              <w:snapToGrid w:val="0"/>
              <w:spacing w:before="182" w:line="227" w:lineRule="auto"/>
              <w:ind w:left="343"/>
              <w:textAlignment w:val="baseline"/>
              <w:rPr>
                <w:rFonts w:ascii="宋体" w:hAnsi="宋体"/>
                <w:snapToGrid w:val="0"/>
                <w:color w:val="000000"/>
                <w:spacing w:val="7"/>
                <w:kern w:val="0"/>
                <w:sz w:val="24"/>
              </w:rPr>
            </w:pPr>
            <w:r>
              <w:rPr>
                <w:rFonts w:ascii="宋体" w:hAnsi="宋体"/>
                <w:snapToGrid w:val="0"/>
                <w:color w:val="000000"/>
                <w:spacing w:val="7"/>
                <w:kern w:val="0"/>
                <w:sz w:val="24"/>
              </w:rPr>
              <w:t>□现场参观</w:t>
            </w:r>
            <w:r>
              <w:rPr>
                <w:rFonts w:hint="eastAsia" w:ascii="宋体" w:hAnsi="宋体"/>
                <w:snapToGrid w:val="0"/>
                <w:color w:val="000000"/>
                <w:spacing w:val="7"/>
                <w:kern w:val="0"/>
                <w:sz w:val="24"/>
              </w:rPr>
              <w:t xml:space="preserve">            </w:t>
            </w:r>
            <w:r>
              <w:rPr>
                <w:rFonts w:ascii="宋体" w:hAnsi="宋体"/>
                <w:snapToGrid w:val="0"/>
                <w:color w:val="000000"/>
                <w:spacing w:val="7"/>
                <w:kern w:val="0"/>
                <w:sz w:val="24"/>
              </w:rPr>
              <w:t>□电话会议</w:t>
            </w:r>
          </w:p>
          <w:p w14:paraId="6092CFD7">
            <w:pPr>
              <w:widowControl/>
              <w:kinsoku w:val="0"/>
              <w:autoSpaceDE w:val="0"/>
              <w:autoSpaceDN w:val="0"/>
              <w:adjustRightInd w:val="0"/>
              <w:snapToGrid w:val="0"/>
              <w:spacing w:before="186" w:line="227" w:lineRule="auto"/>
              <w:ind w:left="343"/>
              <w:textAlignment w:val="baseline"/>
              <w:rPr>
                <w:rFonts w:ascii="宋体" w:hAnsi="宋体"/>
                <w:snapToGrid w:val="0"/>
                <w:color w:val="000000"/>
                <w:spacing w:val="7"/>
                <w:kern w:val="0"/>
                <w:sz w:val="24"/>
              </w:rPr>
            </w:pPr>
            <w:r>
              <w:rPr>
                <w:rFonts w:ascii="宋体" w:hAnsi="宋体"/>
                <w:snapToGrid w:val="0"/>
                <w:color w:val="000000"/>
                <w:spacing w:val="7"/>
                <w:kern w:val="0"/>
                <w:sz w:val="24"/>
              </w:rPr>
              <w:t xml:space="preserve">□其他  (请文字说明其他活动内容) </w:t>
            </w:r>
          </w:p>
        </w:tc>
      </w:tr>
      <w:tr w14:paraId="19479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3258" w:type="dxa"/>
            <w:vAlign w:val="center"/>
          </w:tcPr>
          <w:p w14:paraId="54025481">
            <w:pPr>
              <w:widowControl/>
              <w:kinsoku w:val="0"/>
              <w:autoSpaceDE w:val="0"/>
              <w:autoSpaceDN w:val="0"/>
              <w:adjustRightInd w:val="0"/>
              <w:snapToGrid w:val="0"/>
              <w:spacing w:before="38" w:line="227" w:lineRule="auto"/>
              <w:ind w:left="323"/>
              <w:textAlignment w:val="baseline"/>
              <w:rPr>
                <w:rFonts w:ascii="宋体" w:hAnsi="宋体"/>
                <w:snapToGrid w:val="0"/>
                <w:color w:val="000000"/>
                <w:kern w:val="0"/>
                <w:sz w:val="24"/>
              </w:rPr>
            </w:pPr>
            <w:r>
              <w:rPr>
                <w:rFonts w:ascii="宋体" w:hAnsi="宋体"/>
                <w:snapToGrid w:val="0"/>
                <w:color w:val="000000"/>
                <w:spacing w:val="10"/>
                <w:kern w:val="0"/>
                <w:sz w:val="24"/>
                <w14:textOutline w14:w="4356" w14:cap="sq" w14:cmpd="sng" w14:algn="ctr">
                  <w14:solidFill>
                    <w14:srgbClr w14:val="000000"/>
                  </w14:solidFill>
                  <w14:prstDash w14:val="solid"/>
                  <w14:bevel/>
                </w14:textOutline>
              </w:rPr>
              <w:t>参与单位名称及人员姓</w:t>
            </w:r>
            <w:r>
              <w:rPr>
                <w:rFonts w:ascii="宋体" w:hAnsi="宋体"/>
                <w:snapToGrid w:val="0"/>
                <w:color w:val="000000"/>
                <w:spacing w:val="8"/>
                <w:kern w:val="0"/>
                <w:sz w:val="24"/>
                <w14:textOutline w14:w="4356" w14:cap="sq" w14:cmpd="sng" w14:algn="ctr">
                  <w14:solidFill>
                    <w14:srgbClr w14:val="000000"/>
                  </w14:solidFill>
                  <w14:prstDash w14:val="solid"/>
                  <w14:bevel/>
                </w14:textOutline>
              </w:rPr>
              <w:t>名</w:t>
            </w:r>
          </w:p>
        </w:tc>
        <w:tc>
          <w:tcPr>
            <w:tcW w:w="6095" w:type="dxa"/>
            <w:vAlign w:val="center"/>
          </w:tcPr>
          <w:p w14:paraId="7870C522">
            <w:pPr>
              <w:widowControl/>
              <w:kinsoku w:val="0"/>
              <w:autoSpaceDE w:val="0"/>
              <w:autoSpaceDN w:val="0"/>
              <w:adjustRightInd w:val="0"/>
              <w:snapToGrid w:val="0"/>
              <w:textAlignment w:val="baseline"/>
              <w:rPr>
                <w:rFonts w:ascii="宋体" w:hAnsi="宋体" w:cs="Arial"/>
                <w:snapToGrid w:val="0"/>
                <w:color w:val="000000"/>
                <w:kern w:val="0"/>
                <w:sz w:val="24"/>
              </w:rPr>
            </w:pPr>
            <w:r>
              <w:rPr>
                <w:rFonts w:hint="eastAsia" w:ascii="宋体" w:hAnsi="宋体" w:cs="Arial"/>
                <w:snapToGrid w:val="0"/>
                <w:color w:val="000000"/>
                <w:kern w:val="0"/>
                <w:sz w:val="24"/>
              </w:rPr>
              <w:t>上海国泰海通证券资产管理有限公司 金润</w:t>
            </w:r>
          </w:p>
        </w:tc>
      </w:tr>
      <w:tr w14:paraId="3B4B9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3258" w:type="dxa"/>
            <w:vAlign w:val="center"/>
          </w:tcPr>
          <w:p w14:paraId="6A35814E">
            <w:pPr>
              <w:widowControl/>
              <w:kinsoku w:val="0"/>
              <w:autoSpaceDE w:val="0"/>
              <w:autoSpaceDN w:val="0"/>
              <w:adjustRightInd w:val="0"/>
              <w:snapToGrid w:val="0"/>
              <w:spacing w:before="38" w:line="227" w:lineRule="auto"/>
              <w:ind w:left="320"/>
              <w:textAlignment w:val="baseline"/>
              <w:rPr>
                <w:rFonts w:ascii="宋体" w:hAnsi="宋体"/>
                <w:snapToGrid w:val="0"/>
                <w:color w:val="000000"/>
                <w:kern w:val="0"/>
                <w:sz w:val="24"/>
              </w:rPr>
            </w:pPr>
            <w:r>
              <w:rPr>
                <w:rFonts w:ascii="宋体" w:hAnsi="宋体"/>
                <w:snapToGrid w:val="0"/>
                <w:color w:val="000000"/>
                <w:spacing w:val="9"/>
                <w:kern w:val="0"/>
                <w:sz w:val="24"/>
                <w14:textOutline w14:w="4356" w14:cap="sq" w14:cmpd="sng" w14:algn="ctr">
                  <w14:solidFill>
                    <w14:srgbClr w14:val="000000"/>
                  </w14:solidFill>
                  <w14:prstDash w14:val="solid"/>
                  <w14:bevel/>
                </w14:textOutline>
              </w:rPr>
              <w:t>会</w:t>
            </w:r>
            <w:r>
              <w:rPr>
                <w:rFonts w:ascii="宋体" w:hAnsi="宋体"/>
                <w:snapToGrid w:val="0"/>
                <w:color w:val="000000"/>
                <w:spacing w:val="8"/>
                <w:kern w:val="0"/>
                <w:sz w:val="24"/>
                <w14:textOutline w14:w="4356" w14:cap="sq" w14:cmpd="sng" w14:algn="ctr">
                  <w14:solidFill>
                    <w14:srgbClr w14:val="000000"/>
                  </w14:solidFill>
                  <w14:prstDash w14:val="solid"/>
                  <w14:bevel/>
                </w14:textOutline>
              </w:rPr>
              <w:t>议时间</w:t>
            </w:r>
          </w:p>
        </w:tc>
        <w:tc>
          <w:tcPr>
            <w:tcW w:w="6095" w:type="dxa"/>
            <w:vAlign w:val="center"/>
          </w:tcPr>
          <w:p w14:paraId="21AE6B00">
            <w:pPr>
              <w:widowControl/>
              <w:kinsoku w:val="0"/>
              <w:autoSpaceDE w:val="0"/>
              <w:autoSpaceDN w:val="0"/>
              <w:adjustRightInd w:val="0"/>
              <w:snapToGrid w:val="0"/>
              <w:spacing w:before="39" w:line="227" w:lineRule="auto"/>
              <w:textAlignment w:val="baseline"/>
              <w:rPr>
                <w:rFonts w:ascii="宋体" w:hAnsi="宋体"/>
                <w:snapToGrid w:val="0"/>
                <w:color w:val="000000"/>
                <w:kern w:val="0"/>
                <w:sz w:val="24"/>
              </w:rPr>
            </w:pPr>
            <w:r>
              <w:rPr>
                <w:rFonts w:hint="eastAsia" w:ascii="宋体" w:hAnsi="宋体"/>
                <w:snapToGrid w:val="0"/>
                <w:color w:val="000000"/>
                <w:spacing w:val="7"/>
                <w:kern w:val="0"/>
                <w:sz w:val="24"/>
              </w:rPr>
              <w:t>2</w:t>
            </w:r>
            <w:r>
              <w:rPr>
                <w:rFonts w:ascii="宋体" w:hAnsi="宋体"/>
                <w:snapToGrid w:val="0"/>
                <w:color w:val="000000"/>
                <w:spacing w:val="7"/>
                <w:kern w:val="0"/>
                <w:sz w:val="24"/>
              </w:rPr>
              <w:t>02</w:t>
            </w:r>
            <w:r>
              <w:rPr>
                <w:rFonts w:hint="eastAsia" w:ascii="宋体" w:hAnsi="宋体"/>
                <w:snapToGrid w:val="0"/>
                <w:color w:val="000000"/>
                <w:spacing w:val="7"/>
                <w:kern w:val="0"/>
                <w:sz w:val="24"/>
              </w:rPr>
              <w:t>6</w:t>
            </w:r>
            <w:r>
              <w:rPr>
                <w:rFonts w:ascii="宋体" w:hAnsi="宋体"/>
                <w:snapToGrid w:val="0"/>
                <w:color w:val="000000"/>
                <w:spacing w:val="7"/>
                <w:kern w:val="0"/>
                <w:sz w:val="24"/>
              </w:rPr>
              <w:t>年</w:t>
            </w:r>
            <w:r>
              <w:rPr>
                <w:rFonts w:hint="eastAsia" w:ascii="宋体" w:hAnsi="宋体"/>
                <w:snapToGrid w:val="0"/>
                <w:color w:val="000000"/>
                <w:spacing w:val="7"/>
                <w:kern w:val="0"/>
                <w:sz w:val="24"/>
              </w:rPr>
              <w:t>3</w:t>
            </w:r>
            <w:r>
              <w:rPr>
                <w:rFonts w:ascii="宋体" w:hAnsi="宋体"/>
                <w:snapToGrid w:val="0"/>
                <w:color w:val="000000"/>
                <w:spacing w:val="7"/>
                <w:kern w:val="0"/>
                <w:sz w:val="24"/>
              </w:rPr>
              <w:t>月</w:t>
            </w:r>
            <w:r>
              <w:rPr>
                <w:rFonts w:hint="eastAsia" w:ascii="宋体" w:hAnsi="宋体"/>
                <w:snapToGrid w:val="0"/>
                <w:color w:val="000000"/>
                <w:spacing w:val="7"/>
                <w:kern w:val="0"/>
                <w:sz w:val="24"/>
              </w:rPr>
              <w:t>11</w:t>
            </w:r>
            <w:r>
              <w:rPr>
                <w:rFonts w:ascii="宋体" w:hAnsi="宋体"/>
                <w:snapToGrid w:val="0"/>
                <w:color w:val="000000"/>
                <w:spacing w:val="7"/>
                <w:kern w:val="0"/>
                <w:sz w:val="24"/>
              </w:rPr>
              <w:t>日</w:t>
            </w:r>
          </w:p>
        </w:tc>
      </w:tr>
      <w:tr w14:paraId="51648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3258" w:type="dxa"/>
            <w:vAlign w:val="center"/>
          </w:tcPr>
          <w:p w14:paraId="5D89E0A1">
            <w:pPr>
              <w:widowControl/>
              <w:kinsoku w:val="0"/>
              <w:autoSpaceDE w:val="0"/>
              <w:autoSpaceDN w:val="0"/>
              <w:adjustRightInd w:val="0"/>
              <w:snapToGrid w:val="0"/>
              <w:spacing w:before="36" w:line="227" w:lineRule="auto"/>
              <w:ind w:left="320"/>
              <w:textAlignment w:val="baseline"/>
              <w:rPr>
                <w:rFonts w:ascii="宋体" w:hAnsi="宋体"/>
                <w:snapToGrid w:val="0"/>
                <w:color w:val="000000"/>
                <w:kern w:val="0"/>
                <w:sz w:val="24"/>
              </w:rPr>
            </w:pPr>
            <w:r>
              <w:rPr>
                <w:rFonts w:ascii="宋体" w:hAnsi="宋体"/>
                <w:snapToGrid w:val="0"/>
                <w:color w:val="000000"/>
                <w:spacing w:val="9"/>
                <w:kern w:val="0"/>
                <w:sz w:val="24"/>
                <w14:textOutline w14:w="4356" w14:cap="sq" w14:cmpd="sng" w14:algn="ctr">
                  <w14:solidFill>
                    <w14:srgbClr w14:val="000000"/>
                  </w14:solidFill>
                  <w14:prstDash w14:val="solid"/>
                  <w14:bevel/>
                </w14:textOutline>
              </w:rPr>
              <w:t>会</w:t>
            </w:r>
            <w:r>
              <w:rPr>
                <w:rFonts w:ascii="宋体" w:hAnsi="宋体"/>
                <w:snapToGrid w:val="0"/>
                <w:color w:val="000000"/>
                <w:spacing w:val="8"/>
                <w:kern w:val="0"/>
                <w:sz w:val="24"/>
                <w14:textOutline w14:w="4356" w14:cap="sq" w14:cmpd="sng" w14:algn="ctr">
                  <w14:solidFill>
                    <w14:srgbClr w14:val="000000"/>
                  </w14:solidFill>
                  <w14:prstDash w14:val="solid"/>
                  <w14:bevel/>
                </w14:textOutline>
              </w:rPr>
              <w:t>议地点</w:t>
            </w:r>
          </w:p>
        </w:tc>
        <w:tc>
          <w:tcPr>
            <w:tcW w:w="6095" w:type="dxa"/>
            <w:vAlign w:val="center"/>
          </w:tcPr>
          <w:p w14:paraId="0D7B61D3">
            <w:pPr>
              <w:widowControl/>
              <w:kinsoku w:val="0"/>
              <w:autoSpaceDE w:val="0"/>
              <w:autoSpaceDN w:val="0"/>
              <w:adjustRightInd w:val="0"/>
              <w:snapToGrid w:val="0"/>
              <w:spacing w:before="36" w:line="227" w:lineRule="auto"/>
              <w:textAlignment w:val="baseline"/>
              <w:rPr>
                <w:rFonts w:ascii="宋体" w:hAnsi="宋体"/>
                <w:snapToGrid w:val="0"/>
                <w:color w:val="000000"/>
                <w:kern w:val="0"/>
                <w:sz w:val="24"/>
              </w:rPr>
            </w:pPr>
            <w:r>
              <w:rPr>
                <w:rFonts w:hint="eastAsia" w:ascii="宋体" w:hAnsi="宋体"/>
                <w:snapToGrid w:val="0"/>
                <w:color w:val="000000"/>
                <w:kern w:val="0"/>
                <w:sz w:val="24"/>
              </w:rPr>
              <w:t>江苏扬子江国际化学工业园东海路1号</w:t>
            </w:r>
          </w:p>
        </w:tc>
      </w:tr>
      <w:tr w14:paraId="28022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jc w:val="center"/>
        </w:trPr>
        <w:tc>
          <w:tcPr>
            <w:tcW w:w="3258" w:type="dxa"/>
            <w:vAlign w:val="center"/>
          </w:tcPr>
          <w:p w14:paraId="198BD9E5">
            <w:pPr>
              <w:widowControl/>
              <w:kinsoku w:val="0"/>
              <w:autoSpaceDE w:val="0"/>
              <w:autoSpaceDN w:val="0"/>
              <w:adjustRightInd w:val="0"/>
              <w:snapToGrid w:val="0"/>
              <w:spacing w:before="37" w:line="227" w:lineRule="auto"/>
              <w:ind w:left="323"/>
              <w:textAlignment w:val="baseline"/>
              <w:rPr>
                <w:rFonts w:ascii="宋体" w:hAnsi="宋体"/>
                <w:snapToGrid w:val="0"/>
                <w:color w:val="000000"/>
                <w:kern w:val="0"/>
                <w:sz w:val="24"/>
              </w:rPr>
            </w:pPr>
            <w:r>
              <w:rPr>
                <w:rFonts w:ascii="宋体" w:hAnsi="宋体"/>
                <w:snapToGrid w:val="0"/>
                <w:color w:val="000000"/>
                <w:spacing w:val="10"/>
                <w:kern w:val="0"/>
                <w:sz w:val="24"/>
                <w14:textOutline w14:w="4356" w14:cap="sq" w14:cmpd="sng" w14:algn="ctr">
                  <w14:solidFill>
                    <w14:srgbClr w14:val="000000"/>
                  </w14:solidFill>
                  <w14:prstDash w14:val="solid"/>
                  <w14:bevel/>
                </w14:textOutline>
              </w:rPr>
              <w:t>上市公司接待人员姓</w:t>
            </w:r>
            <w:r>
              <w:rPr>
                <w:rFonts w:ascii="宋体" w:hAnsi="宋体"/>
                <w:snapToGrid w:val="0"/>
                <w:color w:val="000000"/>
                <w:spacing w:val="8"/>
                <w:kern w:val="0"/>
                <w:sz w:val="24"/>
                <w14:textOutline w14:w="4356" w14:cap="sq" w14:cmpd="sng" w14:algn="ctr">
                  <w14:solidFill>
                    <w14:srgbClr w14:val="000000"/>
                  </w14:solidFill>
                  <w14:prstDash w14:val="solid"/>
                  <w14:bevel/>
                </w14:textOutline>
              </w:rPr>
              <w:t>名</w:t>
            </w:r>
          </w:p>
        </w:tc>
        <w:tc>
          <w:tcPr>
            <w:tcW w:w="6095" w:type="dxa"/>
            <w:vAlign w:val="center"/>
          </w:tcPr>
          <w:p w14:paraId="2EB4FA2D">
            <w:pPr>
              <w:widowControl/>
              <w:kinsoku w:val="0"/>
              <w:autoSpaceDE w:val="0"/>
              <w:autoSpaceDN w:val="0"/>
              <w:adjustRightInd w:val="0"/>
              <w:snapToGrid w:val="0"/>
              <w:spacing w:before="0" w:line="360" w:lineRule="auto"/>
              <w:textAlignment w:val="baseline"/>
              <w:rPr>
                <w:rFonts w:ascii="宋体" w:hAnsi="宋体"/>
                <w:snapToGrid w:val="0"/>
                <w:color w:val="000000"/>
                <w:kern w:val="0"/>
                <w:sz w:val="24"/>
              </w:rPr>
            </w:pPr>
            <w:r>
              <w:rPr>
                <w:rFonts w:hint="eastAsia" w:ascii="宋体" w:hAnsi="宋体"/>
                <w:snapToGrid w:val="0"/>
                <w:color w:val="000000"/>
                <w:kern w:val="0"/>
                <w:sz w:val="24"/>
              </w:rPr>
              <w:t>副总经理兼董事会秘书：黄江</w:t>
            </w:r>
          </w:p>
          <w:p w14:paraId="6FEE6769">
            <w:pPr>
              <w:widowControl/>
              <w:kinsoku w:val="0"/>
              <w:autoSpaceDE w:val="0"/>
              <w:autoSpaceDN w:val="0"/>
              <w:adjustRightInd w:val="0"/>
              <w:snapToGrid w:val="0"/>
              <w:spacing w:before="0" w:line="360" w:lineRule="auto"/>
              <w:textAlignment w:val="baseline"/>
              <w:rPr>
                <w:rFonts w:ascii="宋体" w:hAnsi="宋体"/>
                <w:snapToGrid w:val="0"/>
                <w:color w:val="000000"/>
                <w:kern w:val="0"/>
                <w:sz w:val="24"/>
              </w:rPr>
            </w:pPr>
            <w:r>
              <w:rPr>
                <w:rFonts w:hint="eastAsia" w:ascii="宋体" w:hAnsi="宋体"/>
                <w:snapToGrid w:val="0"/>
                <w:color w:val="000000"/>
                <w:kern w:val="0"/>
                <w:sz w:val="24"/>
              </w:rPr>
              <w:t>证券部：张可</w:t>
            </w:r>
          </w:p>
        </w:tc>
      </w:tr>
      <w:tr w14:paraId="0D5B5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4" w:hRule="atLeast"/>
          <w:jc w:val="center"/>
        </w:trPr>
        <w:tc>
          <w:tcPr>
            <w:tcW w:w="3258" w:type="dxa"/>
            <w:vAlign w:val="center"/>
          </w:tcPr>
          <w:p w14:paraId="760E0EAE">
            <w:pPr>
              <w:widowControl/>
              <w:kinsoku w:val="0"/>
              <w:autoSpaceDE w:val="0"/>
              <w:autoSpaceDN w:val="0"/>
              <w:adjustRightInd w:val="0"/>
              <w:snapToGrid w:val="0"/>
              <w:spacing w:before="75" w:line="227" w:lineRule="auto"/>
              <w:ind w:left="324"/>
              <w:textAlignment w:val="baseline"/>
              <w:rPr>
                <w:rFonts w:ascii="宋体" w:hAnsi="宋体"/>
                <w:snapToGrid w:val="0"/>
                <w:color w:val="000000"/>
                <w:kern w:val="0"/>
                <w:sz w:val="24"/>
              </w:rPr>
            </w:pPr>
            <w:r>
              <w:rPr>
                <w:rFonts w:ascii="宋体" w:hAnsi="宋体"/>
                <w:snapToGrid w:val="0"/>
                <w:color w:val="000000"/>
                <w:spacing w:val="10"/>
                <w:kern w:val="0"/>
                <w:sz w:val="24"/>
                <w14:textOutline w14:w="4356" w14:cap="sq" w14:cmpd="sng" w14:algn="ctr">
                  <w14:solidFill>
                    <w14:srgbClr w14:val="000000"/>
                  </w14:solidFill>
                  <w14:prstDash w14:val="solid"/>
                  <w14:bevel/>
                </w14:textOutline>
              </w:rPr>
              <w:t>投资者关系活动主要内容介</w:t>
            </w:r>
            <w:r>
              <w:rPr>
                <w:rFonts w:ascii="宋体" w:hAnsi="宋体"/>
                <w:snapToGrid w:val="0"/>
                <w:color w:val="000000"/>
                <w:spacing w:val="9"/>
                <w:kern w:val="0"/>
                <w:sz w:val="24"/>
                <w14:textOutline w14:w="4356" w14:cap="sq" w14:cmpd="sng" w14:algn="ctr">
                  <w14:solidFill>
                    <w14:srgbClr w14:val="000000"/>
                  </w14:solidFill>
                  <w14:prstDash w14:val="solid"/>
                  <w14:bevel/>
                </w14:textOutline>
              </w:rPr>
              <w:t>绍</w:t>
            </w:r>
          </w:p>
        </w:tc>
        <w:tc>
          <w:tcPr>
            <w:tcW w:w="6095" w:type="dxa"/>
            <w:vAlign w:val="center"/>
          </w:tcPr>
          <w:p w14:paraId="145616E9">
            <w:pPr>
              <w:widowControl/>
              <w:kinsoku w:val="0"/>
              <w:autoSpaceDE w:val="0"/>
              <w:autoSpaceDN w:val="0"/>
              <w:adjustRightInd w:val="0"/>
              <w:snapToGrid w:val="0"/>
              <w:spacing w:before="75"/>
              <w:ind w:firstLine="510" w:firstLineChars="200"/>
              <w:textAlignment w:val="baseline"/>
              <w:rPr>
                <w:rFonts w:ascii="宋体" w:hAnsi="宋体"/>
                <w:b/>
                <w:bCs/>
                <w:snapToGrid w:val="0"/>
                <w:color w:val="000000"/>
                <w:spacing w:val="7"/>
                <w:kern w:val="0"/>
                <w:sz w:val="24"/>
              </w:rPr>
            </w:pPr>
            <w:r>
              <w:rPr>
                <w:rFonts w:hint="eastAsia" w:ascii="宋体" w:hAnsi="宋体"/>
                <w:b/>
                <w:snapToGrid w:val="0"/>
                <w:color w:val="000000"/>
                <w:spacing w:val="7"/>
                <w:kern w:val="0"/>
                <w:sz w:val="24"/>
              </w:rPr>
              <w:t>问1</w:t>
            </w:r>
            <w:r>
              <w:rPr>
                <w:rFonts w:hint="eastAsia" w:ascii="宋体" w:hAnsi="宋体"/>
                <w:b/>
                <w:bCs/>
                <w:snapToGrid w:val="0"/>
                <w:color w:val="000000"/>
                <w:spacing w:val="7"/>
                <w:kern w:val="0"/>
                <w:sz w:val="24"/>
              </w:rPr>
              <w:t>：请简要介绍一下公司主营业务。</w:t>
            </w:r>
          </w:p>
          <w:p w14:paraId="414041C5">
            <w:pPr>
              <w:pStyle w:val="9"/>
              <w:widowControl/>
              <w:spacing w:before="156" w:after="156"/>
              <w:ind w:firstLine="510"/>
              <w:rPr>
                <w:shd w:val="clear" w:color="auto" w:fill="FFFFFF"/>
              </w:rPr>
            </w:pPr>
            <w:r>
              <w:rPr>
                <w:rFonts w:hint="eastAsia" w:ascii="宋体" w:hAnsi="宋体"/>
                <w:b/>
                <w:snapToGrid w:val="0"/>
                <w:color w:val="000000"/>
                <w:spacing w:val="7"/>
                <w:kern w:val="0"/>
              </w:rPr>
              <w:t>答1：</w:t>
            </w:r>
            <w:r>
              <w:rPr>
                <w:rFonts w:hint="eastAsia"/>
                <w:shd w:val="clear" w:color="auto" w:fill="FFFFFF"/>
              </w:rPr>
              <w:t>公司是一家废弃资源综合利用领域的高新技术企业，主要以废弃油脂生产资源化产品。基于长期的研发投入和产业实践，公司在废弃油脂资源综合利用的深度及广度上不断拓展，形成了</w:t>
            </w:r>
            <w:r>
              <w:rPr>
                <w:rFonts w:hint="eastAsia" w:ascii="宋体" w:hAnsi="宋体"/>
                <w:shd w:val="clear" w:color="auto" w:fill="FFFFFF"/>
              </w:rPr>
              <w:t>“</w:t>
            </w:r>
            <w:r>
              <w:rPr>
                <w:rFonts w:hint="eastAsia"/>
                <w:shd w:val="clear" w:color="auto" w:fill="FFFFFF"/>
              </w:rPr>
              <w:t>废弃油脂—生物燃料（生物柴油）—生物基材料</w:t>
            </w:r>
            <w:r>
              <w:rPr>
                <w:rFonts w:hint="eastAsia" w:ascii="宋体" w:hAnsi="宋体"/>
                <w:shd w:val="clear" w:color="auto" w:fill="FFFFFF"/>
              </w:rPr>
              <w:t>”</w:t>
            </w:r>
            <w:r>
              <w:rPr>
                <w:rFonts w:hint="eastAsia"/>
                <w:shd w:val="clear" w:color="auto" w:fill="FFFFFF"/>
              </w:rPr>
              <w:t>的废弃资源再生产业链。此外，公司还依托自身油脂综合利用核心技术和渠道优势为客户提供油脂化学品。</w:t>
            </w:r>
          </w:p>
          <w:p w14:paraId="149D10E8">
            <w:pPr>
              <w:pStyle w:val="9"/>
              <w:widowControl/>
              <w:spacing w:before="156" w:after="156"/>
              <w:ind w:firstLine="480"/>
              <w:rPr>
                <w:shd w:val="clear" w:color="auto" w:fill="FFFFFF"/>
              </w:rPr>
            </w:pPr>
            <w:bookmarkStart w:id="1" w:name="_Hlk136370370"/>
            <w:r>
              <w:rPr>
                <w:rFonts w:hint="eastAsia"/>
                <w:shd w:val="clear" w:color="auto" w:fill="FFFFFF"/>
              </w:rPr>
              <w:t>公司主营业务以废弃油脂资源综合利用业务为主，油脂化学品业务为辅</w:t>
            </w:r>
            <w:bookmarkEnd w:id="1"/>
            <w:r>
              <w:rPr>
                <w:rFonts w:hint="eastAsia"/>
                <w:shd w:val="clear" w:color="auto" w:fill="FFFFFF"/>
              </w:rPr>
              <w:t>。废弃油脂资源综合利用业务主要产品为生物基材料和生物燃料，其中</w:t>
            </w:r>
            <w:r>
              <w:rPr>
                <w:rFonts w:hint="eastAsia"/>
                <w:kern w:val="0"/>
              </w:rPr>
              <w:t>生物基材料主要为</w:t>
            </w:r>
            <w:r>
              <w:rPr>
                <w:rFonts w:hint="eastAsia" w:hAnsi="宋体"/>
                <w:kern w:val="0"/>
              </w:rPr>
              <w:t>农药助剂、化肥助剂等生物柴油配方产品和工业级混合油</w:t>
            </w:r>
            <w:r>
              <w:rPr>
                <w:rFonts w:hint="eastAsia"/>
                <w:shd w:val="clear" w:color="auto" w:fill="FFFFFF"/>
              </w:rPr>
              <w:t>；生物燃料主要为生物柴油；油脂化学品业务主要产品为D</w:t>
            </w:r>
            <w:r>
              <w:rPr>
                <w:shd w:val="clear" w:color="auto" w:fill="FFFFFF"/>
              </w:rPr>
              <w:t>D</w:t>
            </w:r>
            <w:r>
              <w:rPr>
                <w:rFonts w:hint="eastAsia"/>
                <w:shd w:val="clear" w:color="auto" w:fill="FFFFFF"/>
              </w:rPr>
              <w:t>油、脂肪酸等。</w:t>
            </w:r>
          </w:p>
          <w:p w14:paraId="7C34281A">
            <w:pPr>
              <w:pStyle w:val="9"/>
              <w:widowControl/>
              <w:spacing w:before="156" w:after="156"/>
              <w:ind w:firstLine="510"/>
              <w:rPr>
                <w:rFonts w:ascii="宋体" w:hAnsi="宋体"/>
                <w:b/>
                <w:snapToGrid w:val="0"/>
                <w:color w:val="000000"/>
                <w:spacing w:val="7"/>
                <w:kern w:val="0"/>
              </w:rPr>
            </w:pPr>
            <w:r>
              <w:rPr>
                <w:rFonts w:hint="eastAsia" w:ascii="宋体" w:hAnsi="宋体"/>
                <w:b/>
                <w:snapToGrid w:val="0"/>
                <w:color w:val="000000"/>
                <w:spacing w:val="7"/>
                <w:kern w:val="0"/>
              </w:rPr>
              <w:t>问2：请介绍一下公司生物基材料有哪些产品。</w:t>
            </w:r>
          </w:p>
          <w:p w14:paraId="573177FB">
            <w:pPr>
              <w:pStyle w:val="9"/>
              <w:widowControl/>
              <w:spacing w:before="156" w:after="156"/>
              <w:ind w:firstLine="510"/>
              <w:rPr>
                <w:rFonts w:ascii="宋体" w:hAnsi="宋体"/>
                <w:b/>
                <w:snapToGrid w:val="0"/>
                <w:color w:val="000000"/>
                <w:spacing w:val="7"/>
                <w:kern w:val="0"/>
              </w:rPr>
            </w:pPr>
            <w:r>
              <w:rPr>
                <w:rFonts w:hint="eastAsia" w:ascii="宋体" w:hAnsi="宋体"/>
                <w:b/>
                <w:snapToGrid w:val="0"/>
                <w:color w:val="000000"/>
                <w:spacing w:val="7"/>
                <w:kern w:val="0"/>
              </w:rPr>
              <w:t>答2</w:t>
            </w:r>
            <w:bookmarkStart w:id="2" w:name="_Hlk136369761"/>
            <w:r>
              <w:rPr>
                <w:rFonts w:hint="eastAsia" w:ascii="宋体" w:hAnsi="宋体"/>
                <w:b/>
                <w:snapToGrid w:val="0"/>
                <w:color w:val="000000"/>
                <w:spacing w:val="7"/>
                <w:kern w:val="0"/>
              </w:rPr>
              <w:t>：</w:t>
            </w:r>
            <w:bookmarkEnd w:id="2"/>
            <w:r>
              <w:rPr>
                <w:rFonts w:hint="eastAsia"/>
                <w:kern w:val="0"/>
              </w:rPr>
              <w:t>生物基材料主要为</w:t>
            </w:r>
            <w:r>
              <w:rPr>
                <w:kern w:val="0"/>
              </w:rPr>
              <w:t>生物柴油配方产品</w:t>
            </w:r>
            <w:r>
              <w:rPr>
                <w:rFonts w:hint="eastAsia" w:hAnsi="宋体"/>
                <w:kern w:val="0"/>
              </w:rPr>
              <w:t>和工业级混合油</w:t>
            </w:r>
            <w:r>
              <w:rPr>
                <w:rFonts w:hAnsi="宋体"/>
                <w:kern w:val="0"/>
              </w:rPr>
              <w:t>，</w:t>
            </w:r>
            <w:r>
              <w:rPr>
                <w:rFonts w:hint="eastAsia" w:hAnsi="宋体"/>
                <w:kern w:val="0"/>
              </w:rPr>
              <w:t>其中生物柴油配方产品系</w:t>
            </w:r>
            <w:r>
              <w:rPr>
                <w:rFonts w:hint="eastAsia"/>
                <w:kern w:val="0"/>
              </w:rPr>
              <w:t>应用于农药、化肥、选矿、油墨树脂、纺织、生物医药等多个领域的助剂，</w:t>
            </w:r>
            <w:r>
              <w:rPr>
                <w:rFonts w:hint="eastAsia"/>
                <w:shd w:val="clear" w:color="auto" w:fill="FFFFFF"/>
              </w:rPr>
              <w:t>能够发挥溶解、增效、分散、润滑等作用</w:t>
            </w:r>
            <w:r>
              <w:rPr>
                <w:rFonts w:hint="eastAsia"/>
                <w:shd w:val="clear" w:color="auto" w:fill="FFFFFF"/>
                <w:lang w:eastAsia="zh-CN"/>
              </w:rPr>
              <w:t>；</w:t>
            </w:r>
            <w:r>
              <w:rPr>
                <w:rFonts w:hint="eastAsia" w:hAnsi="宋体"/>
                <w:shd w:val="clear" w:color="auto" w:fill="FFFFFF"/>
              </w:rPr>
              <w:t>工业级混合油</w:t>
            </w:r>
            <w:r>
              <w:rPr>
                <w:rFonts w:hint="eastAsia" w:hAnsi="宋体"/>
                <w:shd w:val="clear" w:color="auto" w:fill="FFFFFF"/>
                <w:lang w:eastAsia="zh-CN"/>
              </w:rPr>
              <w:t>是</w:t>
            </w:r>
            <w:r>
              <w:rPr>
                <w:rFonts w:hint="eastAsia" w:hAnsi="宋体"/>
                <w:kern w:val="0"/>
                <w:szCs w:val="21"/>
              </w:rPr>
              <w:t>根据客户需求，对废弃油脂实现了标准化处理后达到工业级使用标准的产品</w:t>
            </w:r>
            <w:r>
              <w:rPr>
                <w:rFonts w:hint="eastAsia"/>
                <w:bCs/>
              </w:rPr>
              <w:t>。</w:t>
            </w:r>
          </w:p>
          <w:p w14:paraId="4B9DF2B2">
            <w:pPr>
              <w:pStyle w:val="9"/>
              <w:spacing w:before="156" w:after="156"/>
              <w:ind w:firstLine="510"/>
              <w:rPr>
                <w:rFonts w:ascii="宋体" w:hAnsi="宋体"/>
                <w:b/>
                <w:snapToGrid w:val="0"/>
                <w:color w:val="000000"/>
                <w:spacing w:val="7"/>
                <w:kern w:val="0"/>
              </w:rPr>
            </w:pPr>
            <w:r>
              <w:rPr>
                <w:rFonts w:hint="eastAsia" w:ascii="宋体" w:hAnsi="宋体"/>
                <w:b/>
                <w:snapToGrid w:val="0"/>
                <w:color w:val="000000"/>
                <w:spacing w:val="7"/>
                <w:kern w:val="0"/>
              </w:rPr>
              <w:t>问3：公司生物基材料未来有哪些新的增长点？</w:t>
            </w:r>
          </w:p>
          <w:p w14:paraId="61609703">
            <w:pPr>
              <w:pStyle w:val="9"/>
              <w:spacing w:before="156" w:after="156"/>
              <w:ind w:firstLine="510"/>
              <w:rPr>
                <w:rFonts w:ascii="宋体" w:hAnsi="宋体"/>
                <w:bCs/>
                <w:snapToGrid w:val="0"/>
                <w:color w:val="000000"/>
                <w:spacing w:val="7"/>
                <w:kern w:val="0"/>
              </w:rPr>
            </w:pPr>
            <w:r>
              <w:rPr>
                <w:rFonts w:hint="eastAsia" w:ascii="宋体" w:hAnsi="宋体"/>
                <w:b/>
                <w:snapToGrid w:val="0"/>
                <w:color w:val="000000"/>
                <w:spacing w:val="7"/>
                <w:kern w:val="0"/>
              </w:rPr>
              <w:t>答3：</w:t>
            </w:r>
            <w:r>
              <w:rPr>
                <w:rFonts w:hint="eastAsia"/>
              </w:rPr>
              <w:t>公司不断围绕废弃资源综合利用丰富自身产品体系，以及拓展生物基材料在化工行业的研发和产业化。公司在自主创新的基础上，结合产学研合作，加速油脂生物基材料对化石基材料的替代和在化工行业的深度应用。例如在煤泥浮选方面，公司继续深化内部研发与产学研合作，开拓国内知名煤炭企业，为客户提供优质可靠的煤泥浮选助剂产品。</w:t>
            </w:r>
          </w:p>
          <w:p w14:paraId="5265F82B">
            <w:pPr>
              <w:pStyle w:val="9"/>
              <w:widowControl/>
              <w:spacing w:before="156" w:after="156"/>
              <w:ind w:firstLine="510"/>
              <w:rPr>
                <w:rFonts w:ascii="宋体" w:hAnsi="宋体"/>
                <w:b/>
                <w:bCs/>
                <w:snapToGrid w:val="0"/>
                <w:color w:val="000000"/>
                <w:spacing w:val="7"/>
                <w:kern w:val="0"/>
              </w:rPr>
            </w:pPr>
            <w:r>
              <w:rPr>
                <w:rFonts w:hint="eastAsia" w:ascii="宋体" w:hAnsi="宋体"/>
                <w:b/>
                <w:snapToGrid w:val="0"/>
                <w:color w:val="000000"/>
                <w:spacing w:val="7"/>
                <w:kern w:val="0"/>
              </w:rPr>
              <w:t>问4：</w:t>
            </w:r>
            <w:r>
              <w:rPr>
                <w:rFonts w:hint="eastAsia" w:ascii="宋体" w:hAnsi="宋体"/>
                <w:b/>
                <w:bCs/>
                <w:snapToGrid w:val="0"/>
                <w:color w:val="000000"/>
                <w:spacing w:val="7"/>
                <w:kern w:val="0"/>
              </w:rPr>
              <w:t>请介绍一下公司采购废弃油脂的来源及采购优势。</w:t>
            </w:r>
          </w:p>
          <w:p w14:paraId="7C13E6E8">
            <w:pPr>
              <w:pStyle w:val="9"/>
              <w:widowControl/>
              <w:spacing w:before="156" w:after="156"/>
              <w:ind w:firstLine="510"/>
              <w:rPr>
                <w:rStyle w:val="10"/>
                <w:rFonts w:ascii="宋体" w:hAnsi="宋体"/>
                <w:bCs/>
              </w:rPr>
            </w:pPr>
            <w:r>
              <w:rPr>
                <w:rFonts w:hint="eastAsia" w:ascii="宋体" w:hAnsi="宋体"/>
                <w:b/>
                <w:snapToGrid w:val="0"/>
                <w:color w:val="000000"/>
                <w:spacing w:val="7"/>
                <w:kern w:val="0"/>
              </w:rPr>
              <w:t>答4：</w:t>
            </w:r>
            <w:r>
              <w:rPr>
                <w:rFonts w:hint="eastAsia" w:ascii="宋体" w:hAnsi="宋体"/>
              </w:rPr>
              <w:t>废弃油脂主要来源于</w:t>
            </w:r>
            <w:r>
              <w:rPr>
                <w:rFonts w:hint="eastAsia" w:ascii="宋体" w:hAnsi="宋体"/>
                <w:shd w:val="clear" w:color="auto" w:fill="FFFFFF"/>
              </w:rPr>
              <w:t>粮油食品加工企业、油脂化工企业</w:t>
            </w:r>
            <w:r>
              <w:rPr>
                <w:rFonts w:hint="eastAsia" w:ascii="宋体" w:hAnsi="宋体"/>
              </w:rPr>
              <w:t>、餐厨处理企业等。</w:t>
            </w:r>
            <w:r>
              <w:rPr>
                <w:rFonts w:hint="eastAsia" w:ascii="宋体" w:hAnsi="宋体"/>
                <w:shd w:val="clear" w:color="auto" w:fill="FFFFFF"/>
              </w:rPr>
              <w:t>公司在全国范围内多点布局知名粮油食品加工企业、油脂化工企业、餐厨处理企业、区域性个人供应商的供货渠道</w:t>
            </w:r>
            <w:r>
              <w:rPr>
                <w:rFonts w:hint="eastAsia" w:ascii="宋体" w:hAnsi="宋体"/>
                <w:shd w:val="clear" w:color="auto" w:fill="FFFFFF"/>
                <w:lang w:eastAsia="zh-CN"/>
              </w:rPr>
              <w:t>。</w:t>
            </w:r>
            <w:r>
              <w:t>公司建立了较为完备的采购与付款循环内控制度，覆盖了供应商管理、运输、检验、入库、付款等环节，并建立了废弃油脂采购台账，保证了废弃油脂的来源和流向全过程均能得到有效监控。</w:t>
            </w:r>
          </w:p>
          <w:p w14:paraId="0E5DCF06">
            <w:pPr>
              <w:widowControl/>
              <w:autoSpaceDE w:val="0"/>
              <w:autoSpaceDN w:val="0"/>
              <w:adjustRightInd w:val="0"/>
              <w:snapToGrid w:val="0"/>
              <w:spacing w:before="181" w:line="360" w:lineRule="auto"/>
              <w:ind w:firstLine="510" w:firstLineChars="200"/>
              <w:textAlignment w:val="baseline"/>
              <w:rPr>
                <w:rStyle w:val="10"/>
                <w:rFonts w:ascii="宋体" w:hAnsi="宋体"/>
                <w:b/>
              </w:rPr>
            </w:pPr>
            <w:r>
              <w:rPr>
                <w:rFonts w:hint="eastAsia" w:ascii="宋体" w:hAnsi="宋体"/>
                <w:b/>
                <w:snapToGrid w:val="0"/>
                <w:color w:val="000000"/>
                <w:spacing w:val="7"/>
                <w:kern w:val="0"/>
                <w:sz w:val="24"/>
              </w:rPr>
              <w:t>问5：公司的工业级混合油产品客户有哪些？</w:t>
            </w:r>
          </w:p>
          <w:p w14:paraId="0723A95C">
            <w:pPr>
              <w:widowControl/>
              <w:autoSpaceDE w:val="0"/>
              <w:autoSpaceDN w:val="0"/>
              <w:adjustRightInd w:val="0"/>
              <w:snapToGrid w:val="0"/>
              <w:spacing w:before="181" w:line="360" w:lineRule="auto"/>
              <w:ind w:firstLine="510" w:firstLineChars="200"/>
              <w:textAlignment w:val="baseline"/>
              <w:rPr>
                <w:rStyle w:val="10"/>
                <w:rFonts w:hint="eastAsia" w:ascii="宋体" w:hAnsi="宋体" w:eastAsia="宋体"/>
                <w:bCs/>
                <w:lang w:eastAsia="zh-CN"/>
              </w:rPr>
            </w:pPr>
            <w:r>
              <w:rPr>
                <w:rFonts w:hint="eastAsia" w:ascii="宋体" w:hAnsi="宋体"/>
                <w:b/>
                <w:snapToGrid w:val="0"/>
                <w:color w:val="000000"/>
                <w:spacing w:val="7"/>
                <w:kern w:val="0"/>
                <w:sz w:val="24"/>
              </w:rPr>
              <w:t>答5：</w:t>
            </w:r>
            <w:r>
              <w:rPr>
                <w:rFonts w:hint="eastAsia" w:ascii="宋体" w:hAnsi="宋体"/>
                <w:bCs/>
                <w:snapToGrid w:val="0"/>
                <w:color w:val="000000"/>
                <w:spacing w:val="7"/>
                <w:kern w:val="0"/>
                <w:sz w:val="24"/>
              </w:rPr>
              <w:t>公司已与海新能科、嘉澳环保、山东海科化工有限公司</w:t>
            </w:r>
            <w:r>
              <w:rPr>
                <w:rFonts w:hint="eastAsia" w:ascii="宋体" w:hAnsi="宋体"/>
                <w:bCs/>
                <w:snapToGrid w:val="0"/>
                <w:color w:val="000000"/>
                <w:spacing w:val="7"/>
                <w:kern w:val="0"/>
                <w:sz w:val="24"/>
                <w:lang w:eastAsia="zh-CN"/>
              </w:rPr>
              <w:t>、</w:t>
            </w:r>
            <w:r>
              <w:rPr>
                <w:rFonts w:hint="eastAsia" w:ascii="宋体" w:hAnsi="宋体"/>
                <w:bCs/>
                <w:snapToGrid w:val="0"/>
                <w:color w:val="000000"/>
                <w:spacing w:val="7"/>
                <w:kern w:val="0"/>
                <w:sz w:val="24"/>
              </w:rPr>
              <w:t>Phillips 66等</w:t>
            </w:r>
            <w:r>
              <w:rPr>
                <w:rFonts w:hint="eastAsia" w:ascii="宋体" w:hAnsi="宋体"/>
                <w:bCs/>
                <w:snapToGrid w:val="0"/>
                <w:color w:val="000000"/>
                <w:spacing w:val="7"/>
                <w:kern w:val="0"/>
                <w:sz w:val="24"/>
                <w:lang w:val="en-US" w:eastAsia="zh-CN"/>
              </w:rPr>
              <w:t>国内外SAF</w:t>
            </w:r>
            <w:r>
              <w:rPr>
                <w:rFonts w:hint="eastAsia" w:ascii="宋体" w:hAnsi="宋体"/>
                <w:bCs/>
                <w:snapToGrid w:val="0"/>
                <w:color w:val="000000"/>
                <w:spacing w:val="7"/>
                <w:kern w:val="0"/>
                <w:sz w:val="24"/>
              </w:rPr>
              <w:t>厂商开展合作</w:t>
            </w:r>
            <w:r>
              <w:rPr>
                <w:rFonts w:hint="eastAsia" w:ascii="宋体" w:hAnsi="宋体"/>
                <w:bCs/>
                <w:snapToGrid w:val="0"/>
                <w:color w:val="000000"/>
                <w:spacing w:val="7"/>
                <w:kern w:val="0"/>
                <w:sz w:val="24"/>
                <w:lang w:eastAsia="zh-CN"/>
              </w:rPr>
              <w:t>。</w:t>
            </w:r>
          </w:p>
          <w:p w14:paraId="0710658E">
            <w:pPr>
              <w:widowControl/>
              <w:autoSpaceDE w:val="0"/>
              <w:autoSpaceDN w:val="0"/>
              <w:adjustRightInd w:val="0"/>
              <w:snapToGrid w:val="0"/>
              <w:spacing w:before="181" w:line="360" w:lineRule="auto"/>
              <w:ind w:firstLine="510" w:firstLineChars="200"/>
              <w:textAlignment w:val="baseline"/>
              <w:rPr>
                <w:rFonts w:ascii="宋体" w:hAnsi="宋体"/>
                <w:b/>
                <w:bCs/>
                <w:snapToGrid w:val="0"/>
                <w:color w:val="000000"/>
                <w:spacing w:val="7"/>
                <w:kern w:val="0"/>
                <w:sz w:val="24"/>
              </w:rPr>
            </w:pPr>
            <w:r>
              <w:rPr>
                <w:rFonts w:hint="eastAsia" w:ascii="宋体" w:hAnsi="宋体"/>
                <w:b/>
                <w:snapToGrid w:val="0"/>
                <w:color w:val="000000"/>
                <w:spacing w:val="7"/>
                <w:kern w:val="0"/>
                <w:sz w:val="24"/>
              </w:rPr>
              <w:t>问6</w:t>
            </w:r>
            <w:r>
              <w:rPr>
                <w:rFonts w:hint="eastAsia" w:ascii="宋体" w:hAnsi="宋体"/>
                <w:snapToGrid w:val="0"/>
                <w:color w:val="000000"/>
                <w:spacing w:val="7"/>
                <w:kern w:val="0"/>
                <w:sz w:val="24"/>
              </w:rPr>
              <w:t>：</w:t>
            </w:r>
            <w:r>
              <w:rPr>
                <w:rFonts w:hint="eastAsia" w:ascii="宋体" w:hAnsi="宋体"/>
                <w:b/>
                <w:bCs/>
                <w:snapToGrid w:val="0"/>
                <w:color w:val="000000"/>
                <w:spacing w:val="7"/>
                <w:kern w:val="0"/>
                <w:sz w:val="24"/>
              </w:rPr>
              <w:t>公司在处理废弃油脂有哪些工艺优势？</w:t>
            </w:r>
          </w:p>
          <w:p w14:paraId="25857EB9">
            <w:pPr>
              <w:widowControl/>
              <w:autoSpaceDE w:val="0"/>
              <w:autoSpaceDN w:val="0"/>
              <w:adjustRightInd w:val="0"/>
              <w:snapToGrid w:val="0"/>
              <w:spacing w:before="181" w:line="360" w:lineRule="auto"/>
              <w:ind w:firstLine="510" w:firstLineChars="200"/>
              <w:textAlignment w:val="baseline"/>
              <w:rPr>
                <w:rFonts w:ascii="宋体" w:hAnsi="宋体"/>
                <w:bCs/>
                <w:snapToGrid w:val="0"/>
                <w:color w:val="000000"/>
                <w:spacing w:val="7"/>
                <w:kern w:val="0"/>
                <w:sz w:val="24"/>
              </w:rPr>
            </w:pPr>
            <w:r>
              <w:rPr>
                <w:rFonts w:hint="eastAsia" w:ascii="宋体" w:hAnsi="宋体"/>
                <w:b/>
                <w:snapToGrid w:val="0"/>
                <w:color w:val="000000"/>
                <w:spacing w:val="7"/>
                <w:kern w:val="0"/>
                <w:sz w:val="24"/>
              </w:rPr>
              <w:t>答6</w:t>
            </w:r>
            <w:r>
              <w:rPr>
                <w:rFonts w:hint="eastAsia" w:ascii="宋体" w:hAnsi="宋体"/>
                <w:snapToGrid w:val="0"/>
                <w:color w:val="000000"/>
                <w:spacing w:val="7"/>
                <w:kern w:val="0"/>
                <w:sz w:val="24"/>
              </w:rPr>
              <w:t>：</w:t>
            </w:r>
            <w:r>
              <w:rPr>
                <w:rFonts w:hint="eastAsia"/>
                <w:sz w:val="24"/>
                <w:shd w:val="clear" w:color="auto" w:fill="FFFFFF"/>
              </w:rPr>
              <w:t>公司废弃油脂资源综合利用业务主要原材料废弃油脂成分复杂，品质差异大，利用难度高。公司围绕</w:t>
            </w:r>
            <w:r>
              <w:rPr>
                <w:rFonts w:hint="eastAsia" w:ascii="宋体" w:hAnsi="宋体"/>
                <w:sz w:val="24"/>
                <w:shd w:val="clear" w:color="auto" w:fill="FFFFFF"/>
              </w:rPr>
              <w:t>“</w:t>
            </w:r>
            <w:r>
              <w:rPr>
                <w:rFonts w:hint="eastAsia"/>
                <w:sz w:val="24"/>
                <w:shd w:val="clear" w:color="auto" w:fill="FFFFFF"/>
              </w:rPr>
              <w:t>基础研究、材料开发、应用开发</w:t>
            </w:r>
            <w:r>
              <w:rPr>
                <w:rFonts w:hint="eastAsia" w:ascii="宋体" w:hAnsi="宋体"/>
                <w:sz w:val="24"/>
                <w:shd w:val="clear" w:color="auto" w:fill="FFFFFF"/>
              </w:rPr>
              <w:t>”</w:t>
            </w:r>
            <w:r>
              <w:rPr>
                <w:rFonts w:hint="eastAsia"/>
                <w:sz w:val="24"/>
                <w:shd w:val="clear" w:color="auto" w:fill="FFFFFF"/>
              </w:rPr>
              <w:t>三大方向，依托深入实践的研发团队、长期积累的技术经验，以及丰富的检测应用数据、机理研究和配方技术，形成了一系列油脂综合利用相关核心技术。基于此，公司能够利用更广泛的废弃油脂，实现各类渠道来源废弃油脂中复杂成分的提纯、转化和分离。</w:t>
            </w:r>
          </w:p>
        </w:tc>
      </w:tr>
      <w:tr w14:paraId="15AB3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3258" w:type="dxa"/>
            <w:vAlign w:val="center"/>
          </w:tcPr>
          <w:p w14:paraId="04293666">
            <w:pPr>
              <w:widowControl/>
              <w:kinsoku w:val="0"/>
              <w:autoSpaceDE w:val="0"/>
              <w:autoSpaceDN w:val="0"/>
              <w:adjustRightInd w:val="0"/>
              <w:snapToGrid w:val="0"/>
              <w:spacing w:before="40" w:line="227" w:lineRule="auto"/>
              <w:ind w:left="340"/>
              <w:textAlignment w:val="baseline"/>
              <w:rPr>
                <w:rFonts w:ascii="宋体" w:hAnsi="宋体"/>
                <w:snapToGrid w:val="0"/>
                <w:color w:val="000000"/>
                <w:kern w:val="0"/>
                <w:sz w:val="24"/>
              </w:rPr>
            </w:pPr>
            <w:r>
              <w:rPr>
                <w:rFonts w:ascii="宋体" w:hAnsi="宋体"/>
                <w:snapToGrid w:val="0"/>
                <w:color w:val="000000"/>
                <w:spacing w:val="6"/>
                <w:kern w:val="0"/>
                <w:sz w:val="24"/>
                <w14:textOutline w14:w="4356" w14:cap="sq" w14:cmpd="sng" w14:algn="ctr">
                  <w14:solidFill>
                    <w14:srgbClr w14:val="000000"/>
                  </w14:solidFill>
                  <w14:prstDash w14:val="solid"/>
                  <w14:bevel/>
                </w14:textOutline>
              </w:rPr>
              <w:t>附</w:t>
            </w:r>
            <w:r>
              <w:rPr>
                <w:rFonts w:ascii="宋体" w:hAnsi="宋体"/>
                <w:snapToGrid w:val="0"/>
                <w:color w:val="000000"/>
                <w:spacing w:val="5"/>
                <w:kern w:val="0"/>
                <w:sz w:val="24"/>
                <w14:textOutline w14:w="4356" w14:cap="sq" w14:cmpd="sng" w14:algn="ctr">
                  <w14:solidFill>
                    <w14:srgbClr w14:val="000000"/>
                  </w14:solidFill>
                  <w14:prstDash w14:val="solid"/>
                  <w14:bevel/>
                </w14:textOutline>
              </w:rPr>
              <w:t>件清单</w:t>
            </w:r>
            <w:r>
              <w:rPr>
                <w:rFonts w:ascii="宋体" w:hAnsi="宋体"/>
                <w:snapToGrid w:val="0"/>
                <w:color w:val="000000"/>
                <w:spacing w:val="5"/>
                <w:kern w:val="0"/>
                <w:sz w:val="24"/>
              </w:rPr>
              <w:t xml:space="preserve"> </w:t>
            </w:r>
            <w:r>
              <w:rPr>
                <w:rFonts w:ascii="宋体" w:hAnsi="宋体"/>
                <w:snapToGrid w:val="0"/>
                <w:color w:val="000000"/>
                <w:spacing w:val="5"/>
                <w:kern w:val="0"/>
                <w:sz w:val="24"/>
                <w14:textOutline w14:w="4356" w14:cap="sq" w14:cmpd="sng" w14:algn="ctr">
                  <w14:solidFill>
                    <w14:srgbClr w14:val="000000"/>
                  </w14:solidFill>
                  <w14:prstDash w14:val="solid"/>
                  <w14:bevel/>
                </w14:textOutline>
              </w:rPr>
              <w:t>(如有)</w:t>
            </w:r>
          </w:p>
        </w:tc>
        <w:tc>
          <w:tcPr>
            <w:tcW w:w="6095" w:type="dxa"/>
            <w:vAlign w:val="center"/>
          </w:tcPr>
          <w:p w14:paraId="3C189224">
            <w:pPr>
              <w:widowControl/>
              <w:kinsoku w:val="0"/>
              <w:autoSpaceDE w:val="0"/>
              <w:autoSpaceDN w:val="0"/>
              <w:adjustRightInd w:val="0"/>
              <w:snapToGrid w:val="0"/>
              <w:ind w:firstLine="254" w:firstLineChars="100"/>
              <w:textAlignment w:val="baseline"/>
              <w:rPr>
                <w:rFonts w:ascii="宋体" w:hAnsi="宋体"/>
                <w:snapToGrid w:val="0"/>
                <w:color w:val="000000"/>
                <w:spacing w:val="7"/>
                <w:kern w:val="0"/>
                <w:sz w:val="24"/>
              </w:rPr>
            </w:pPr>
            <w:r>
              <w:rPr>
                <w:rFonts w:hint="eastAsia" w:ascii="宋体" w:hAnsi="宋体"/>
                <w:snapToGrid w:val="0"/>
                <w:color w:val="000000"/>
                <w:spacing w:val="7"/>
                <w:kern w:val="0"/>
                <w:sz w:val="24"/>
              </w:rPr>
              <w:t>无</w:t>
            </w:r>
          </w:p>
        </w:tc>
      </w:tr>
      <w:tr w14:paraId="0538F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58" w:type="dxa"/>
            <w:vAlign w:val="center"/>
          </w:tcPr>
          <w:p w14:paraId="63E5F5E6">
            <w:pPr>
              <w:widowControl/>
              <w:kinsoku w:val="0"/>
              <w:autoSpaceDE w:val="0"/>
              <w:autoSpaceDN w:val="0"/>
              <w:adjustRightInd w:val="0"/>
              <w:snapToGrid w:val="0"/>
              <w:spacing w:before="41" w:line="228" w:lineRule="auto"/>
              <w:ind w:left="362"/>
              <w:textAlignment w:val="baseline"/>
              <w:rPr>
                <w:rFonts w:ascii="宋体" w:hAnsi="宋体"/>
                <w:snapToGrid w:val="0"/>
                <w:color w:val="000000"/>
                <w:kern w:val="0"/>
                <w:sz w:val="24"/>
              </w:rPr>
            </w:pPr>
            <w:r>
              <w:rPr>
                <w:rFonts w:ascii="宋体" w:hAnsi="宋体"/>
                <w:snapToGrid w:val="0"/>
                <w:color w:val="000000"/>
                <w:spacing w:val="-16"/>
                <w:kern w:val="0"/>
                <w:sz w:val="24"/>
                <w14:textOutline w14:w="4356" w14:cap="sq" w14:cmpd="sng" w14:algn="ctr">
                  <w14:solidFill>
                    <w14:srgbClr w14:val="000000"/>
                  </w14:solidFill>
                  <w14:prstDash w14:val="solid"/>
                  <w14:bevel/>
                </w14:textOutline>
              </w:rPr>
              <w:t>日</w:t>
            </w:r>
            <w:r>
              <w:rPr>
                <w:rFonts w:ascii="宋体" w:hAnsi="宋体"/>
                <w:snapToGrid w:val="0"/>
                <w:color w:val="000000"/>
                <w:spacing w:val="-15"/>
                <w:kern w:val="0"/>
                <w:sz w:val="24"/>
                <w14:textOutline w14:w="4356" w14:cap="sq" w14:cmpd="sng" w14:algn="ctr">
                  <w14:solidFill>
                    <w14:srgbClr w14:val="000000"/>
                  </w14:solidFill>
                  <w14:prstDash w14:val="solid"/>
                  <w14:bevel/>
                </w14:textOutline>
              </w:rPr>
              <w:t>期</w:t>
            </w:r>
          </w:p>
        </w:tc>
        <w:tc>
          <w:tcPr>
            <w:tcW w:w="6095" w:type="dxa"/>
            <w:vAlign w:val="center"/>
          </w:tcPr>
          <w:p w14:paraId="0817698D">
            <w:pPr>
              <w:widowControl/>
              <w:kinsoku w:val="0"/>
              <w:autoSpaceDE w:val="0"/>
              <w:autoSpaceDN w:val="0"/>
              <w:adjustRightInd w:val="0"/>
              <w:snapToGrid w:val="0"/>
              <w:spacing w:before="42" w:line="227" w:lineRule="auto"/>
              <w:ind w:firstLine="254" w:firstLineChars="100"/>
              <w:textAlignment w:val="baseline"/>
              <w:rPr>
                <w:rFonts w:ascii="宋体" w:hAnsi="宋体"/>
                <w:snapToGrid w:val="0"/>
                <w:color w:val="000000"/>
                <w:spacing w:val="7"/>
                <w:kern w:val="0"/>
                <w:sz w:val="24"/>
              </w:rPr>
            </w:pPr>
            <w:r>
              <w:rPr>
                <w:rFonts w:hint="eastAsia" w:ascii="宋体" w:hAnsi="宋体"/>
                <w:snapToGrid w:val="0"/>
                <w:color w:val="000000"/>
                <w:spacing w:val="7"/>
                <w:kern w:val="0"/>
                <w:sz w:val="24"/>
              </w:rPr>
              <w:t>2</w:t>
            </w:r>
            <w:r>
              <w:rPr>
                <w:rFonts w:ascii="宋体" w:hAnsi="宋体"/>
                <w:snapToGrid w:val="0"/>
                <w:color w:val="000000"/>
                <w:spacing w:val="7"/>
                <w:kern w:val="0"/>
                <w:sz w:val="24"/>
              </w:rPr>
              <w:t>02</w:t>
            </w:r>
            <w:r>
              <w:rPr>
                <w:rFonts w:hint="eastAsia" w:ascii="宋体" w:hAnsi="宋体"/>
                <w:snapToGrid w:val="0"/>
                <w:color w:val="000000"/>
                <w:spacing w:val="7"/>
                <w:kern w:val="0"/>
                <w:sz w:val="24"/>
              </w:rPr>
              <w:t>6</w:t>
            </w:r>
            <w:r>
              <w:rPr>
                <w:rFonts w:ascii="宋体" w:hAnsi="宋体"/>
                <w:snapToGrid w:val="0"/>
                <w:color w:val="000000"/>
                <w:spacing w:val="7"/>
                <w:kern w:val="0"/>
                <w:sz w:val="24"/>
              </w:rPr>
              <w:t>年</w:t>
            </w:r>
            <w:r>
              <w:rPr>
                <w:rFonts w:hint="eastAsia" w:ascii="宋体" w:hAnsi="宋体"/>
                <w:snapToGrid w:val="0"/>
                <w:color w:val="000000"/>
                <w:spacing w:val="7"/>
                <w:kern w:val="0"/>
                <w:sz w:val="24"/>
              </w:rPr>
              <w:t>3</w:t>
            </w:r>
            <w:r>
              <w:rPr>
                <w:rFonts w:ascii="宋体" w:hAnsi="宋体"/>
                <w:snapToGrid w:val="0"/>
                <w:color w:val="000000"/>
                <w:spacing w:val="7"/>
                <w:kern w:val="0"/>
                <w:sz w:val="24"/>
              </w:rPr>
              <w:t>月</w:t>
            </w:r>
            <w:r>
              <w:rPr>
                <w:rFonts w:hint="eastAsia" w:ascii="宋体" w:hAnsi="宋体"/>
                <w:snapToGrid w:val="0"/>
                <w:color w:val="000000"/>
                <w:spacing w:val="7"/>
                <w:kern w:val="0"/>
                <w:sz w:val="24"/>
              </w:rPr>
              <w:t>11</w:t>
            </w:r>
            <w:r>
              <w:rPr>
                <w:rFonts w:ascii="宋体" w:hAnsi="宋体"/>
                <w:snapToGrid w:val="0"/>
                <w:color w:val="000000"/>
                <w:spacing w:val="7"/>
                <w:kern w:val="0"/>
                <w:sz w:val="24"/>
              </w:rPr>
              <w:t>日</w:t>
            </w:r>
          </w:p>
        </w:tc>
      </w:tr>
    </w:tbl>
    <w:p w14:paraId="50E9D9C7"/>
    <w:p w14:paraId="61F68299"/>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modern"/>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340AF">
    <w:pPr>
      <w:widowControl/>
      <w:kinsoku w:val="0"/>
      <w:autoSpaceDE w:val="0"/>
      <w:autoSpaceDN w:val="0"/>
      <w:adjustRightInd w:val="0"/>
      <w:snapToGrid w:val="0"/>
      <w:spacing w:before="110" w:line="230" w:lineRule="auto"/>
      <w:ind w:right="70"/>
      <w:textAlignment w:val="baseline"/>
      <w:rPr>
        <w:rFonts w:ascii="宋体" w:hAnsi="宋体"/>
        <w:snapToGrid w:val="0"/>
        <w:color w:val="000000"/>
        <w:kern w:val="0"/>
        <w:sz w:val="17"/>
        <w:szCs w:val="17"/>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80998"/>
    <w:rsid w:val="00180FDE"/>
    <w:rsid w:val="002538C0"/>
    <w:rsid w:val="00374496"/>
    <w:rsid w:val="005E3D91"/>
    <w:rsid w:val="00671EE9"/>
    <w:rsid w:val="00D5605C"/>
    <w:rsid w:val="00E57FAF"/>
    <w:rsid w:val="00F2370D"/>
    <w:rsid w:val="0DB42623"/>
    <w:rsid w:val="135B2C24"/>
    <w:rsid w:val="19F65454"/>
    <w:rsid w:val="22EC546B"/>
    <w:rsid w:val="391D4354"/>
    <w:rsid w:val="3D633F5E"/>
    <w:rsid w:val="43273BCA"/>
    <w:rsid w:val="4374370A"/>
    <w:rsid w:val="48162268"/>
    <w:rsid w:val="4842459B"/>
    <w:rsid w:val="60C277FC"/>
    <w:rsid w:val="60F66053"/>
    <w:rsid w:val="61F41846"/>
    <w:rsid w:val="745D4836"/>
    <w:rsid w:val="7FB80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uiPriority w:val="0"/>
    <w:pPr>
      <w:jc w:val="left"/>
    </w:pPr>
  </w:style>
  <w:style w:type="paragraph" w:styleId="3">
    <w:name w:val="Balloon Text"/>
    <w:basedOn w:val="1"/>
    <w:link w:val="11"/>
    <w:qFormat/>
    <w:uiPriority w:val="0"/>
    <w:rPr>
      <w:sz w:val="18"/>
      <w:szCs w:val="18"/>
    </w:rPr>
  </w:style>
  <w:style w:type="paragraph" w:styleId="4">
    <w:name w:val="annotation subject"/>
    <w:basedOn w:val="2"/>
    <w:next w:val="2"/>
    <w:link w:val="13"/>
    <w:qFormat/>
    <w:uiPriority w:val="0"/>
    <w:rPr>
      <w:b/>
      <w:bCs/>
    </w:rPr>
  </w:style>
  <w:style w:type="character" w:styleId="7">
    <w:name w:val="annotation reference"/>
    <w:basedOn w:val="6"/>
    <w:uiPriority w:val="0"/>
    <w:rPr>
      <w:sz w:val="21"/>
      <w:szCs w:val="21"/>
    </w:rPr>
  </w:style>
  <w:style w:type="table" w:customStyle="1" w:styleId="8">
    <w:name w:val="Table Normal"/>
    <w:qFormat/>
    <w:uiPriority w:val="0"/>
    <w:tblPr>
      <w:tblCellMar>
        <w:top w:w="0" w:type="dxa"/>
        <w:left w:w="0" w:type="dxa"/>
        <w:bottom w:w="0" w:type="dxa"/>
        <w:right w:w="0" w:type="dxa"/>
      </w:tblCellMar>
    </w:tblPr>
  </w:style>
  <w:style w:type="paragraph" w:customStyle="1" w:styleId="9">
    <w:name w:val="005正文"/>
    <w:basedOn w:val="1"/>
    <w:link w:val="10"/>
    <w:qFormat/>
    <w:uiPriority w:val="0"/>
    <w:pPr>
      <w:spacing w:before="50" w:beforeLines="50" w:after="50" w:afterLines="50" w:line="360" w:lineRule="auto"/>
      <w:ind w:firstLine="200" w:firstLineChars="200"/>
    </w:pPr>
    <w:rPr>
      <w:rFonts w:ascii="Times New Roman" w:hAnsi="Times New Roman"/>
      <w:sz w:val="24"/>
    </w:rPr>
  </w:style>
  <w:style w:type="character" w:customStyle="1" w:styleId="10">
    <w:name w:val="005正文 Char"/>
    <w:link w:val="9"/>
    <w:qFormat/>
    <w:uiPriority w:val="0"/>
    <w:rPr>
      <w:rFonts w:ascii="Times New Roman" w:hAnsi="Times New Roman"/>
      <w:sz w:val="24"/>
    </w:rPr>
  </w:style>
  <w:style w:type="character" w:customStyle="1" w:styleId="11">
    <w:name w:val="批注框文本 字符"/>
    <w:basedOn w:val="6"/>
    <w:link w:val="3"/>
    <w:qFormat/>
    <w:uiPriority w:val="0"/>
    <w:rPr>
      <w:rFonts w:ascii="Calibri" w:hAnsi="Calibri" w:eastAsia="宋体" w:cs="宋体"/>
      <w:kern w:val="2"/>
      <w:sz w:val="18"/>
      <w:szCs w:val="18"/>
    </w:rPr>
  </w:style>
  <w:style w:type="character" w:customStyle="1" w:styleId="12">
    <w:name w:val="批注文字 字符"/>
    <w:basedOn w:val="6"/>
    <w:link w:val="2"/>
    <w:qFormat/>
    <w:uiPriority w:val="0"/>
    <w:rPr>
      <w:rFonts w:ascii="Calibri" w:hAnsi="Calibri" w:eastAsia="宋体" w:cs="宋体"/>
      <w:kern w:val="2"/>
      <w:sz w:val="21"/>
      <w:szCs w:val="24"/>
    </w:rPr>
  </w:style>
  <w:style w:type="character" w:customStyle="1" w:styleId="13">
    <w:name w:val="批注主题 字符"/>
    <w:basedOn w:val="12"/>
    <w:link w:val="4"/>
    <w:qFormat/>
    <w:uiPriority w:val="0"/>
    <w:rPr>
      <w:rFonts w:ascii="Calibri" w:hAnsi="Calibri" w:eastAsia="宋体" w:cs="宋体"/>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1491</Words>
  <Characters>1539</Characters>
  <Lines>11</Lines>
  <Paragraphs>3</Paragraphs>
  <TotalTime>3</TotalTime>
  <ScaleCrop>false</ScaleCrop>
  <LinksUpToDate>false</LinksUpToDate>
  <CharactersWithSpaces>1623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2026-03-12T02:12:00Z</dcterms:created>
  <dc:creator>可可可</dc:creator>
  <cp:lastModifiedBy>可可可</cp:lastModifiedBy>
  <cp:lastPrinted>2026-03-12T07:48:59Z</cp:lastPrinted>
  <dcterms:modified xsi:type="dcterms:W3CDTF">2026-03-12T08:46:40Z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25DB04153EDE4910A20450598787BB10_13</vt:lpwstr>
  </property>
  <property fmtid="{D5CDD505-2E9C-101B-9397-08002B2CF9AE}" pid="4" name="KSOTemplateDocerSaveRecord">
    <vt:lpwstr>eyJoZGlkIjoiZWRhOWZmMjcyZGY0NTUzNTY4OThjYWU3NGM2ZTVmNDAiLCJ1c2VySWQiOiIzMjAyODUzNjMifQ==</vt:lpwstr>
  </property>
</Properties>
</file>