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DF30" w14:textId="77777777" w:rsidR="00BD2A9E" w:rsidRDefault="00146B6E">
      <w:pPr>
        <w:pStyle w:val="1"/>
        <w:spacing w:line="360" w:lineRule="auto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601107   </w:t>
      </w:r>
      <w:r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证券简称：四川成渝</w:t>
      </w:r>
    </w:p>
    <w:p w14:paraId="7F6373A2" w14:textId="77777777" w:rsidR="00BD2A9E" w:rsidRDefault="00146B6E">
      <w:pPr>
        <w:spacing w:line="360" w:lineRule="auto"/>
        <w:jc w:val="both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债券代码：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241012.SH  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债券简称：</w:t>
      </w:r>
      <w:proofErr w:type="gramStart"/>
      <w:r>
        <w:rPr>
          <w:rFonts w:ascii="Times New Roman" w:eastAsia="宋体" w:hAnsi="Times New Roman" w:cs="Times New Roman"/>
          <w:sz w:val="20"/>
          <w:szCs w:val="20"/>
          <w:lang w:val="en-US"/>
        </w:rPr>
        <w:t>24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成渝</w:t>
      </w:r>
      <w:proofErr w:type="gramEnd"/>
      <w:r>
        <w:rPr>
          <w:rFonts w:ascii="Times New Roman" w:eastAsia="宋体" w:hAnsi="Times New Roman" w:cs="Times New Roman"/>
          <w:sz w:val="20"/>
          <w:szCs w:val="20"/>
          <w:lang w:val="en-US"/>
        </w:rPr>
        <w:t>01</w:t>
      </w:r>
    </w:p>
    <w:p w14:paraId="2BC5CC6A" w14:textId="77777777" w:rsidR="00BD2A9E" w:rsidRDefault="00146B6E">
      <w:pPr>
        <w:spacing w:line="360" w:lineRule="auto"/>
        <w:jc w:val="both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债券代码：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102485587  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债券简称：</w:t>
      </w:r>
      <w:proofErr w:type="gramStart"/>
      <w:r>
        <w:rPr>
          <w:rFonts w:ascii="Times New Roman" w:eastAsia="宋体" w:hAnsi="Times New Roman" w:cs="Times New Roman"/>
          <w:sz w:val="20"/>
          <w:szCs w:val="20"/>
          <w:lang w:val="en-US"/>
        </w:rPr>
        <w:t>24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成渝</w:t>
      </w:r>
      <w:proofErr w:type="gramEnd"/>
      <w:r>
        <w:rPr>
          <w:rFonts w:ascii="Times New Roman" w:eastAsia="宋体" w:hAnsi="Times New Roman" w:cs="Times New Roman"/>
          <w:sz w:val="20"/>
          <w:szCs w:val="20"/>
          <w:lang w:val="en-US"/>
        </w:rPr>
        <w:t>高速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MTN001</w:t>
      </w:r>
    </w:p>
    <w:p w14:paraId="4B320312" w14:textId="77777777" w:rsidR="00BD2A9E" w:rsidRDefault="00146B6E">
      <w:pPr>
        <w:spacing w:line="360" w:lineRule="auto"/>
        <w:jc w:val="center"/>
        <w:rPr>
          <w:rFonts w:ascii="黑体" w:eastAsia="黑体" w:hAnsi="黑体" w:cs="宋体"/>
          <w:b/>
          <w:bCs/>
          <w:color w:val="FF0000"/>
          <w:sz w:val="44"/>
          <w:szCs w:val="44"/>
          <w:lang w:val="en-US"/>
        </w:rPr>
      </w:pPr>
      <w:r>
        <w:rPr>
          <w:rFonts w:ascii="黑体" w:eastAsia="黑体" w:hAnsi="黑体" w:cs="宋体" w:hint="eastAsia"/>
          <w:b/>
          <w:bCs/>
          <w:color w:val="FF0000"/>
          <w:sz w:val="44"/>
          <w:szCs w:val="44"/>
        </w:rPr>
        <w:t>四川成渝高速公路股份有限公司</w:t>
      </w:r>
    </w:p>
    <w:p w14:paraId="00B8B34B" w14:textId="77777777" w:rsidR="00BD2A9E" w:rsidRDefault="00146B6E">
      <w:pPr>
        <w:spacing w:line="360" w:lineRule="auto"/>
        <w:jc w:val="center"/>
        <w:rPr>
          <w:rFonts w:ascii="黑体" w:eastAsia="黑体" w:hAnsi="黑体" w:cs="宋体"/>
          <w:color w:val="FF000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FF0000"/>
          <w:sz w:val="44"/>
          <w:szCs w:val="44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973"/>
      </w:tblGrid>
      <w:tr w:rsidR="00BD2A9E" w14:paraId="61E8BA2A" w14:textId="77777777">
        <w:trPr>
          <w:trHeight w:val="2801"/>
          <w:jc w:val="center"/>
        </w:trPr>
        <w:tc>
          <w:tcPr>
            <w:tcW w:w="2552" w:type="dxa"/>
          </w:tcPr>
          <w:p w14:paraId="5AEEF4F1" w14:textId="77777777" w:rsidR="00BD2A9E" w:rsidRDefault="00BD2A9E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64D5F89" w14:textId="77777777" w:rsidR="00BD2A9E" w:rsidRDefault="00146B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 w14:textId="77777777" w:rsidR="00BD2A9E" w:rsidRDefault="00BD2A9E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D624373" w14:textId="77777777" w:rsidR="00BD2A9E" w:rsidRDefault="00146B6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416AB9B" w14:textId="77777777" w:rsidR="00BD2A9E" w:rsidRDefault="00BD2A9E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AB93243" w14:textId="77777777" w:rsidR="00BD2A9E" w:rsidRDefault="00146B6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7F39FE3" w14:textId="77777777" w:rsidR="00BD2A9E" w:rsidRDefault="00BD2A9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81AC6C7" w14:textId="77777777" w:rsidR="00BD2A9E" w:rsidRDefault="00146B6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5AF6EE8D" w14:textId="77777777" w:rsidR="00BD2A9E" w:rsidRDefault="00BD2A9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5CC502E" w14:textId="77777777" w:rsidR="00BD2A9E" w:rsidRDefault="00146B6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8F88EAA" w14:textId="77777777" w:rsidR="00BD2A9E" w:rsidRDefault="00BD2A9E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8CAAFA" w14:textId="77777777" w:rsidR="00BD2A9E" w:rsidRDefault="00146B6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</w:tr>
      <w:tr w:rsidR="00BD2A9E" w14:paraId="2BCC2183" w14:textId="77777777">
        <w:trPr>
          <w:trHeight w:val="1120"/>
          <w:jc w:val="center"/>
        </w:trPr>
        <w:tc>
          <w:tcPr>
            <w:tcW w:w="2552" w:type="dxa"/>
            <w:vAlign w:val="center"/>
          </w:tcPr>
          <w:p w14:paraId="2FA4DC27" w14:textId="77777777" w:rsidR="00BD2A9E" w:rsidRDefault="00146B6E">
            <w:pPr>
              <w:pStyle w:val="TableParagraph"/>
              <w:spacing w:line="360" w:lineRule="auto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73" w:type="dxa"/>
            <w:vAlign w:val="center"/>
          </w:tcPr>
          <w:p w14:paraId="03D908EF" w14:textId="77777777" w:rsidR="00BD2A9E" w:rsidRDefault="00146B6E">
            <w:pPr>
              <w:pStyle w:val="TableParagraph"/>
              <w:spacing w:before="100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招商基金管理有限公司、太平资产、博道基金、平安资产管理有限责任公司、东证自营、中金基金、前海开源基金管理有限公司、建信养老金管理有限责任公司、建信养老金管理有限责任公司、泰康资产管理有限责任公司、前海铂悦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创金合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信基金、人保养老、招银理财、华源证券、中信证券、天风交运、国盛证券、国泰海通证券、广发证券、华创交运、中金交运、财通证券、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旦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成投资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、国海证券</w:t>
            </w:r>
          </w:p>
        </w:tc>
      </w:tr>
      <w:tr w:rsidR="00BD2A9E" w14:paraId="2C4AE234" w14:textId="77777777">
        <w:trPr>
          <w:trHeight w:val="426"/>
          <w:jc w:val="center"/>
        </w:trPr>
        <w:tc>
          <w:tcPr>
            <w:tcW w:w="2552" w:type="dxa"/>
            <w:vAlign w:val="center"/>
          </w:tcPr>
          <w:p w14:paraId="1A320BDE" w14:textId="77777777" w:rsidR="00BD2A9E" w:rsidRDefault="00146B6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 w14:textId="77777777" w:rsidR="00BD2A9E" w:rsidRDefault="00146B6E">
            <w:pPr>
              <w:spacing w:before="100" w:line="360" w:lineRule="auto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10:00-11:00</w:t>
            </w:r>
          </w:p>
        </w:tc>
      </w:tr>
      <w:tr w:rsidR="00BD2A9E" w14:paraId="31864F13" w14:textId="77777777">
        <w:trPr>
          <w:trHeight w:val="414"/>
          <w:jc w:val="center"/>
        </w:trPr>
        <w:tc>
          <w:tcPr>
            <w:tcW w:w="2552" w:type="dxa"/>
            <w:vAlign w:val="center"/>
          </w:tcPr>
          <w:p w14:paraId="2798FFE5" w14:textId="77777777" w:rsidR="00BD2A9E" w:rsidRDefault="00146B6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 w14:textId="77777777" w:rsidR="00BD2A9E" w:rsidRDefault="00146B6E">
            <w:pPr>
              <w:pStyle w:val="TableParagraph"/>
              <w:spacing w:before="100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公司会议室、线上</w:t>
            </w:r>
          </w:p>
        </w:tc>
      </w:tr>
      <w:tr w:rsidR="00BD2A9E" w14:paraId="59ABF8A3" w14:textId="77777777">
        <w:trPr>
          <w:trHeight w:val="1109"/>
          <w:jc w:val="center"/>
        </w:trPr>
        <w:tc>
          <w:tcPr>
            <w:tcW w:w="2552" w:type="dxa"/>
            <w:vAlign w:val="center"/>
          </w:tcPr>
          <w:p w14:paraId="697A7005" w14:textId="77777777" w:rsidR="00BD2A9E" w:rsidRDefault="00146B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6738EA28" w14:textId="77777777" w:rsidR="00BD2A9E" w:rsidRDefault="00146B6E">
            <w:pPr>
              <w:pStyle w:val="TableParagraph"/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姚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>建成</w:t>
            </w:r>
          </w:p>
          <w:p w14:paraId="3F469A24" w14:textId="77777777" w:rsidR="00BD2A9E" w:rsidRDefault="00146B6E">
            <w:pPr>
              <w:pStyle w:val="TableParagraph"/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证券事务代表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邱竹</w:t>
            </w:r>
          </w:p>
          <w:p w14:paraId="34CBD707" w14:textId="77777777" w:rsidR="00BD2A9E" w:rsidRDefault="00146B6E">
            <w:pPr>
              <w:pStyle w:val="TableParagraph"/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董事会办公室职员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钟莉</w:t>
            </w:r>
          </w:p>
        </w:tc>
      </w:tr>
      <w:tr w:rsidR="00BD2A9E" w14:paraId="70CD7C04" w14:textId="77777777">
        <w:trPr>
          <w:trHeight w:val="853"/>
          <w:jc w:val="center"/>
        </w:trPr>
        <w:tc>
          <w:tcPr>
            <w:tcW w:w="2552" w:type="dxa"/>
          </w:tcPr>
          <w:p w14:paraId="576B59F8" w14:textId="77777777" w:rsidR="00BD2A9E" w:rsidRDefault="00BD2A9E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25C3B8" w14:textId="77777777" w:rsidR="00BD2A9E" w:rsidRDefault="00BD2A9E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6E73793" w14:textId="77777777" w:rsidR="00BD2A9E" w:rsidRDefault="00BD2A9E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60F4007" w14:textId="77777777" w:rsidR="00BD2A9E" w:rsidRDefault="00146B6E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</w:t>
            </w:r>
          </w:p>
          <w:p w14:paraId="648439DA" w14:textId="77777777" w:rsidR="00BD2A9E" w:rsidRDefault="00146B6E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28573365" w14:textId="0483EBEC" w:rsidR="00BD2A9E" w:rsidRDefault="00146B6E">
            <w:pPr>
              <w:pStyle w:val="af0"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请介绍下公司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“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十五五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期间的发展计划。</w:t>
            </w:r>
          </w:p>
          <w:p w14:paraId="09C89B90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“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十五五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期间，公司将持续深耕主业、聚焦核心赛道，稳步夯实发展根基。一是做大做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强核心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路产规模，紧密把握行业政策导向与优质并购机遇，在统筹整体战略布局、经营业绩及现金流水平，确保资产负债率维持健康可控区间的前提下，稳妥推进优质资产整合注入，持续增厚核心资产储备，全面提升企业综合竞争力与盈利稳定性。二是纵深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推进路衍经济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开发，依托数字化、智慧化转型升级赋能，深挖服务区客流、车流价值，完善流量变现商业模式，培育新增盈利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lastRenderedPageBreak/>
              <w:t>增长点。三是常态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化深化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降本增效成效，延续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“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十四五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期间管理改革经验，持续优化组织架构与管控体系，精进内部运营管理，提升资金统筹配置与使用效益，全方位激发企业内生发展活力。</w:t>
            </w:r>
          </w:p>
          <w:p w14:paraId="2B75A9AC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2025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四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季度的收入、利润同比出现下滑，具体原因是什么？</w:t>
            </w:r>
          </w:p>
          <w:p w14:paraId="3B16D286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答：一是由于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9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月城北出口高速收费期限届满，因此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年四季度收入、利润有所下降；二是由于公司工程结算集中发生于四季度，而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2024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年公司降本增效效果集中体现，因此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2024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年四季度利润基数偏高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；三是四季度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计提部分减值损失导致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。</w:t>
            </w:r>
          </w:p>
          <w:p w14:paraId="0E0F6FC3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、成雅扩容项目的投资节奏和施工安排是怎样的？通车后，预计收费标准是什么水平？</w:t>
            </w:r>
          </w:p>
          <w:p w14:paraId="5AA6EFD2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答：成雅扩容项目总投资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285.48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亿元，其中项目资本金为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20.20%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，公司按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85%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的持股比例承担的自有资金出资额为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49.02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亿元。预计工期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4-5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，公司出资将根据工程实际进度分年度、按比例投入。高速公路的收费标准需严格遵循国家及四川省的相关政策规定，由主管部门在项目建成后，综合建设成本、技术等级、区域经济水平等多种因素后研究确定，具体的收费方案须以政府主管部门的最终正式批复为准。</w:t>
            </w:r>
          </w:p>
          <w:p w14:paraId="6A0E3C89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、成乐扩容的施工进度如何，预计什么时候通车？</w:t>
            </w:r>
          </w:p>
          <w:p w14:paraId="4670CB3B" w14:textId="53FE63EC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成乐高速扩容项目主线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“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四改八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车道工程已基本完工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年底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二绕至文山段通车。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目前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，公司正集中资源，全力推进最后入城段的施工建设，力争在确保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工程品质与安全的前提下，尽早实现项目全线贯通。</w:t>
            </w:r>
          </w:p>
          <w:p w14:paraId="182BD60B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、天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邛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高速何时开始收费？</w:t>
            </w:r>
          </w:p>
          <w:p w14:paraId="52D45436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答：根据四川省高速公路开通运营的相关要求，天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邛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高速的正式收费手续目前正在积极推进中。具体收费时间需以政府相关部门的最终批复为准，待有明确进展，公司将按规定及时披露。</w:t>
            </w:r>
          </w:p>
          <w:p w14:paraId="12C50DA3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年公司新能源板块的业绩表现如何？</w:t>
            </w:r>
          </w:p>
          <w:p w14:paraId="4D06EB59" w14:textId="0EAE068F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年，蜀道新能源（科技）公司实现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营收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,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229.35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万元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净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利润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1,048.91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万元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，净利润同比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2024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的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80.26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万元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实现大幅增长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。</w:t>
            </w:r>
          </w:p>
          <w:p w14:paraId="1CC3C0DD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、荆宜高速在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月完成并表，从什么时候开始合并收入利润呢？</w:t>
            </w:r>
          </w:p>
          <w:p w14:paraId="2922F148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答：荆宜高速收购为同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一控制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下企业合并，按会计准则要求，于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日起合并荆宜高速公司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年全年的收入、利润。</w:t>
            </w:r>
          </w:p>
          <w:p w14:paraId="367D1C54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、公司下一步的分红规划是怎样的？</w:t>
            </w:r>
          </w:p>
          <w:p w14:paraId="56EC78D7" w14:textId="77777777" w:rsidR="00BD2A9E" w:rsidRDefault="00146B6E">
            <w:pPr>
              <w:numPr>
                <w:ilvl w:val="255"/>
                <w:numId w:val="0"/>
              </w:numPr>
              <w:autoSpaceDE/>
              <w:autoSpaceDN/>
              <w:spacing w:line="360" w:lineRule="auto"/>
              <w:ind w:firstLineChars="200" w:firstLine="40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lastRenderedPageBreak/>
              <w:t>答：公司宣告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年每股派发现金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0.297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元，现金分红金额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占归母净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利润的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60.02%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。公司目前尚在统筹研究未来分红政策，将充分考虑市场预期，严格遵循监管政策导向，继续坚持稳健、可持续的分红原则，致力于与广大股东共享公司发展成果，实现长期共赢。</w:t>
            </w:r>
          </w:p>
        </w:tc>
      </w:tr>
      <w:tr w:rsidR="00BD2A9E" w14:paraId="1252DEB1" w14:textId="77777777">
        <w:trPr>
          <w:trHeight w:val="742"/>
          <w:jc w:val="center"/>
        </w:trPr>
        <w:tc>
          <w:tcPr>
            <w:tcW w:w="2552" w:type="dxa"/>
            <w:vAlign w:val="center"/>
          </w:tcPr>
          <w:p w14:paraId="43F27004" w14:textId="77777777" w:rsidR="00BD2A9E" w:rsidRDefault="00146B6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4CDDF8C9" w14:textId="77777777" w:rsidR="00BD2A9E" w:rsidRDefault="00146B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 w14:textId="77777777" w:rsidR="00BD2A9E" w:rsidRDefault="00146B6E">
            <w:pPr>
              <w:pStyle w:val="TableParagraph"/>
              <w:spacing w:before="10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BD2A9E" w14:paraId="2E4252DE" w14:textId="77777777">
        <w:trPr>
          <w:trHeight w:val="439"/>
          <w:jc w:val="center"/>
        </w:trPr>
        <w:tc>
          <w:tcPr>
            <w:tcW w:w="2552" w:type="dxa"/>
            <w:vAlign w:val="center"/>
          </w:tcPr>
          <w:p w14:paraId="6C8111AD" w14:textId="77777777" w:rsidR="00BD2A9E" w:rsidRDefault="00146B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 w14:textId="77777777" w:rsidR="00BD2A9E" w:rsidRDefault="00146B6E">
            <w:pPr>
              <w:pStyle w:val="TableParagraph"/>
              <w:spacing w:before="100" w:line="360" w:lineRule="auto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无</w:t>
            </w:r>
          </w:p>
        </w:tc>
      </w:tr>
      <w:tr w:rsidR="00BD2A9E" w14:paraId="69BAA778" w14:textId="77777777">
        <w:trPr>
          <w:trHeight w:val="558"/>
          <w:jc w:val="center"/>
        </w:trPr>
        <w:tc>
          <w:tcPr>
            <w:tcW w:w="2552" w:type="dxa"/>
            <w:vAlign w:val="center"/>
          </w:tcPr>
          <w:p w14:paraId="4F9B4F57" w14:textId="77777777" w:rsidR="00BD2A9E" w:rsidRDefault="00146B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 w14:textId="77777777" w:rsidR="00BD2A9E" w:rsidRDefault="00146B6E">
            <w:pPr>
              <w:pStyle w:val="TableParagraph"/>
              <w:spacing w:before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77881ED" w14:textId="77777777" w:rsidR="00BD2A9E" w:rsidRDefault="00BD2A9E">
      <w:pPr>
        <w:rPr>
          <w:rFonts w:ascii="宋体" w:eastAsia="宋体" w:hAnsi="宋体" w:cs="宋体"/>
          <w:sz w:val="28"/>
          <w:szCs w:val="36"/>
        </w:rPr>
      </w:pPr>
    </w:p>
    <w:sectPr w:rsidR="00BD2A9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12FD" w14:textId="77777777" w:rsidR="00146B6E" w:rsidRDefault="00146B6E" w:rsidP="00146B6E">
      <w:r>
        <w:separator/>
      </w:r>
    </w:p>
  </w:endnote>
  <w:endnote w:type="continuationSeparator" w:id="0">
    <w:p w14:paraId="13304FC8" w14:textId="77777777" w:rsidR="00146B6E" w:rsidRDefault="00146B6E" w:rsidP="001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300000000000000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F8BF" w14:textId="77777777" w:rsidR="00146B6E" w:rsidRDefault="00146B6E" w:rsidP="00146B6E">
      <w:r>
        <w:separator/>
      </w:r>
    </w:p>
  </w:footnote>
  <w:footnote w:type="continuationSeparator" w:id="0">
    <w:p w14:paraId="5B1C3014" w14:textId="77777777" w:rsidR="00146B6E" w:rsidRDefault="00146B6E" w:rsidP="0014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4AC7"/>
    <w:multiLevelType w:val="multilevel"/>
    <w:tmpl w:val="478A4AC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265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jMTVhZmU2M2YwMDA1MWY2MDcyN2YyOGEyOWVhYWQifQ=="/>
  </w:docVars>
  <w:rsids>
    <w:rsidRoot w:val="00301D32"/>
    <w:rsid w:val="FFBBEC9F"/>
    <w:rsid w:val="00026CC3"/>
    <w:rsid w:val="00036089"/>
    <w:rsid w:val="00053CFA"/>
    <w:rsid w:val="000633EC"/>
    <w:rsid w:val="00063804"/>
    <w:rsid w:val="000665A2"/>
    <w:rsid w:val="00077A7D"/>
    <w:rsid w:val="00084682"/>
    <w:rsid w:val="000877AB"/>
    <w:rsid w:val="000B6799"/>
    <w:rsid w:val="000B7C08"/>
    <w:rsid w:val="000D12CF"/>
    <w:rsid w:val="000D2D88"/>
    <w:rsid w:val="000E4B20"/>
    <w:rsid w:val="000F7F77"/>
    <w:rsid w:val="0011418F"/>
    <w:rsid w:val="00146B6E"/>
    <w:rsid w:val="0015684C"/>
    <w:rsid w:val="00172C24"/>
    <w:rsid w:val="00182F8E"/>
    <w:rsid w:val="001E59D1"/>
    <w:rsid w:val="001E5EA4"/>
    <w:rsid w:val="002042A7"/>
    <w:rsid w:val="00205911"/>
    <w:rsid w:val="002146AD"/>
    <w:rsid w:val="00242220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0DEE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338B"/>
    <w:rsid w:val="005E5717"/>
    <w:rsid w:val="005E6DB2"/>
    <w:rsid w:val="00607DAB"/>
    <w:rsid w:val="0061433E"/>
    <w:rsid w:val="0062751D"/>
    <w:rsid w:val="006354AA"/>
    <w:rsid w:val="0065128C"/>
    <w:rsid w:val="00661AFA"/>
    <w:rsid w:val="006726BF"/>
    <w:rsid w:val="00677B77"/>
    <w:rsid w:val="0068718A"/>
    <w:rsid w:val="006A2739"/>
    <w:rsid w:val="006B01F2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73EC5"/>
    <w:rsid w:val="007824B8"/>
    <w:rsid w:val="007910DD"/>
    <w:rsid w:val="007A3EC1"/>
    <w:rsid w:val="007A4564"/>
    <w:rsid w:val="007B3368"/>
    <w:rsid w:val="007D0A69"/>
    <w:rsid w:val="007D643C"/>
    <w:rsid w:val="007D6DC4"/>
    <w:rsid w:val="0080576C"/>
    <w:rsid w:val="00853463"/>
    <w:rsid w:val="00876F13"/>
    <w:rsid w:val="00893F25"/>
    <w:rsid w:val="00895035"/>
    <w:rsid w:val="008B2B14"/>
    <w:rsid w:val="008C6AED"/>
    <w:rsid w:val="008C7604"/>
    <w:rsid w:val="008D7962"/>
    <w:rsid w:val="008E1B27"/>
    <w:rsid w:val="00903379"/>
    <w:rsid w:val="00906975"/>
    <w:rsid w:val="0090699E"/>
    <w:rsid w:val="00917F0B"/>
    <w:rsid w:val="00917F8B"/>
    <w:rsid w:val="00960964"/>
    <w:rsid w:val="00965E4D"/>
    <w:rsid w:val="00997AFE"/>
    <w:rsid w:val="009A0B97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1743D"/>
    <w:rsid w:val="00B340A3"/>
    <w:rsid w:val="00B410F5"/>
    <w:rsid w:val="00B54F9E"/>
    <w:rsid w:val="00B6280C"/>
    <w:rsid w:val="00B671A4"/>
    <w:rsid w:val="00B72CD4"/>
    <w:rsid w:val="00B85B00"/>
    <w:rsid w:val="00BB575F"/>
    <w:rsid w:val="00BD2A9E"/>
    <w:rsid w:val="00BF132F"/>
    <w:rsid w:val="00C13878"/>
    <w:rsid w:val="00C158F9"/>
    <w:rsid w:val="00CA1705"/>
    <w:rsid w:val="00CE1A54"/>
    <w:rsid w:val="00CF1DAD"/>
    <w:rsid w:val="00CF5FB6"/>
    <w:rsid w:val="00D02518"/>
    <w:rsid w:val="00D17454"/>
    <w:rsid w:val="00D33FBC"/>
    <w:rsid w:val="00D47710"/>
    <w:rsid w:val="00D74CEA"/>
    <w:rsid w:val="00D7535C"/>
    <w:rsid w:val="00D76302"/>
    <w:rsid w:val="00D9310C"/>
    <w:rsid w:val="00DA5CE2"/>
    <w:rsid w:val="00DB5901"/>
    <w:rsid w:val="00DE10E8"/>
    <w:rsid w:val="00E16FDA"/>
    <w:rsid w:val="00E35F58"/>
    <w:rsid w:val="00E45BD9"/>
    <w:rsid w:val="00E55FD7"/>
    <w:rsid w:val="00E66FFC"/>
    <w:rsid w:val="00E72086"/>
    <w:rsid w:val="00E759D6"/>
    <w:rsid w:val="00E84A8C"/>
    <w:rsid w:val="00E976DE"/>
    <w:rsid w:val="00EC0F83"/>
    <w:rsid w:val="00EE3187"/>
    <w:rsid w:val="00EF499B"/>
    <w:rsid w:val="00F14977"/>
    <w:rsid w:val="00F9620E"/>
    <w:rsid w:val="00F966EE"/>
    <w:rsid w:val="00FB4A08"/>
    <w:rsid w:val="00FC0C2A"/>
    <w:rsid w:val="00FD7F8E"/>
    <w:rsid w:val="00FF11E4"/>
    <w:rsid w:val="0324165E"/>
    <w:rsid w:val="03B721E0"/>
    <w:rsid w:val="04B072D4"/>
    <w:rsid w:val="04DC0ADB"/>
    <w:rsid w:val="04F54AA7"/>
    <w:rsid w:val="05AB5771"/>
    <w:rsid w:val="05F575D4"/>
    <w:rsid w:val="06047A69"/>
    <w:rsid w:val="064249C6"/>
    <w:rsid w:val="06826B71"/>
    <w:rsid w:val="08641132"/>
    <w:rsid w:val="08C473E5"/>
    <w:rsid w:val="09186774"/>
    <w:rsid w:val="0945438F"/>
    <w:rsid w:val="0A71587A"/>
    <w:rsid w:val="0B792C38"/>
    <w:rsid w:val="0C28640C"/>
    <w:rsid w:val="0CF60D11"/>
    <w:rsid w:val="0DB13287"/>
    <w:rsid w:val="0E0F0640"/>
    <w:rsid w:val="0E90599A"/>
    <w:rsid w:val="0ED720CD"/>
    <w:rsid w:val="11452D31"/>
    <w:rsid w:val="117C29F7"/>
    <w:rsid w:val="1197170D"/>
    <w:rsid w:val="12070CAE"/>
    <w:rsid w:val="12EF3EDA"/>
    <w:rsid w:val="145F688C"/>
    <w:rsid w:val="14D47131"/>
    <w:rsid w:val="15680001"/>
    <w:rsid w:val="15DD2205"/>
    <w:rsid w:val="16E82450"/>
    <w:rsid w:val="17072842"/>
    <w:rsid w:val="17A67110"/>
    <w:rsid w:val="18393FA5"/>
    <w:rsid w:val="18595469"/>
    <w:rsid w:val="1864189B"/>
    <w:rsid w:val="18D73A7D"/>
    <w:rsid w:val="19557370"/>
    <w:rsid w:val="1A2A56C6"/>
    <w:rsid w:val="1A8E38DF"/>
    <w:rsid w:val="1BD06B6A"/>
    <w:rsid w:val="1CDD1CB6"/>
    <w:rsid w:val="1EEC6E06"/>
    <w:rsid w:val="1F782BDE"/>
    <w:rsid w:val="1FDB36A6"/>
    <w:rsid w:val="204A6A53"/>
    <w:rsid w:val="211639B5"/>
    <w:rsid w:val="23317869"/>
    <w:rsid w:val="25650CAE"/>
    <w:rsid w:val="25675F6C"/>
    <w:rsid w:val="26406598"/>
    <w:rsid w:val="268B6BFA"/>
    <w:rsid w:val="26B06083"/>
    <w:rsid w:val="27BC09B5"/>
    <w:rsid w:val="28080056"/>
    <w:rsid w:val="28734C1A"/>
    <w:rsid w:val="28C72DDD"/>
    <w:rsid w:val="297C7ACB"/>
    <w:rsid w:val="29EE0E64"/>
    <w:rsid w:val="2AD34978"/>
    <w:rsid w:val="2BAD4762"/>
    <w:rsid w:val="2BC4020A"/>
    <w:rsid w:val="2C19393B"/>
    <w:rsid w:val="2C2F10E9"/>
    <w:rsid w:val="2EF90F16"/>
    <w:rsid w:val="2F125C63"/>
    <w:rsid w:val="302C3D0A"/>
    <w:rsid w:val="3104598F"/>
    <w:rsid w:val="321067B8"/>
    <w:rsid w:val="32EB6D9B"/>
    <w:rsid w:val="335E29E7"/>
    <w:rsid w:val="33DE31BB"/>
    <w:rsid w:val="35742F68"/>
    <w:rsid w:val="36FF7AC9"/>
    <w:rsid w:val="389C49C0"/>
    <w:rsid w:val="39754676"/>
    <w:rsid w:val="39BC78F4"/>
    <w:rsid w:val="3A0D7192"/>
    <w:rsid w:val="3B35486F"/>
    <w:rsid w:val="3BB06205"/>
    <w:rsid w:val="3C4440AB"/>
    <w:rsid w:val="3C693069"/>
    <w:rsid w:val="3DB96A0B"/>
    <w:rsid w:val="3ED83F30"/>
    <w:rsid w:val="3EF1250A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453388"/>
    <w:rsid w:val="4B6C6473"/>
    <w:rsid w:val="4B756271"/>
    <w:rsid w:val="4B9C0F8A"/>
    <w:rsid w:val="4C28087F"/>
    <w:rsid w:val="4C8E1CA8"/>
    <w:rsid w:val="4D6D36A4"/>
    <w:rsid w:val="4D6E120A"/>
    <w:rsid w:val="4D737540"/>
    <w:rsid w:val="4E2F4540"/>
    <w:rsid w:val="4E70713A"/>
    <w:rsid w:val="4F82051D"/>
    <w:rsid w:val="50831419"/>
    <w:rsid w:val="510903EF"/>
    <w:rsid w:val="510A18E3"/>
    <w:rsid w:val="5304326B"/>
    <w:rsid w:val="53F137F4"/>
    <w:rsid w:val="540E7263"/>
    <w:rsid w:val="543A6906"/>
    <w:rsid w:val="54C44A2C"/>
    <w:rsid w:val="56463C17"/>
    <w:rsid w:val="56850CBB"/>
    <w:rsid w:val="59D8738A"/>
    <w:rsid w:val="5A666D76"/>
    <w:rsid w:val="5B2253C2"/>
    <w:rsid w:val="5B2A58B0"/>
    <w:rsid w:val="5B477C99"/>
    <w:rsid w:val="5C2060A7"/>
    <w:rsid w:val="5CF02E0F"/>
    <w:rsid w:val="5E202E15"/>
    <w:rsid w:val="5E442B42"/>
    <w:rsid w:val="5F644639"/>
    <w:rsid w:val="5FC06CAB"/>
    <w:rsid w:val="603269D2"/>
    <w:rsid w:val="60790A8D"/>
    <w:rsid w:val="60960597"/>
    <w:rsid w:val="617C1853"/>
    <w:rsid w:val="61A52BCA"/>
    <w:rsid w:val="61F47A31"/>
    <w:rsid w:val="630F1C12"/>
    <w:rsid w:val="634D7265"/>
    <w:rsid w:val="63ED7DE0"/>
    <w:rsid w:val="66061D85"/>
    <w:rsid w:val="67095496"/>
    <w:rsid w:val="67ED7463"/>
    <w:rsid w:val="681A546A"/>
    <w:rsid w:val="68507D37"/>
    <w:rsid w:val="689D1149"/>
    <w:rsid w:val="69CB37D4"/>
    <w:rsid w:val="6A0D5B9B"/>
    <w:rsid w:val="6A1B2B67"/>
    <w:rsid w:val="6A3B23B1"/>
    <w:rsid w:val="6AE23394"/>
    <w:rsid w:val="6AEA32DC"/>
    <w:rsid w:val="6C1E73CC"/>
    <w:rsid w:val="6C4D4E55"/>
    <w:rsid w:val="6C4E4F3C"/>
    <w:rsid w:val="6CC24AB5"/>
    <w:rsid w:val="6D9271B2"/>
    <w:rsid w:val="6E2F3D7E"/>
    <w:rsid w:val="6ED7755A"/>
    <w:rsid w:val="6F134790"/>
    <w:rsid w:val="6F150F79"/>
    <w:rsid w:val="6FE81F5F"/>
    <w:rsid w:val="72446028"/>
    <w:rsid w:val="72DB6EC5"/>
    <w:rsid w:val="73076EC0"/>
    <w:rsid w:val="73534D9F"/>
    <w:rsid w:val="74210CA6"/>
    <w:rsid w:val="746F4E76"/>
    <w:rsid w:val="75063359"/>
    <w:rsid w:val="75BFD6B2"/>
    <w:rsid w:val="76430096"/>
    <w:rsid w:val="78372035"/>
    <w:rsid w:val="788C25F5"/>
    <w:rsid w:val="79A52992"/>
    <w:rsid w:val="79F72AA9"/>
    <w:rsid w:val="7A144529"/>
    <w:rsid w:val="7A7E260B"/>
    <w:rsid w:val="7AAF053A"/>
    <w:rsid w:val="7C6355B7"/>
    <w:rsid w:val="7DD37FAE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5D89466-E9D2-4516-8FC6-A2BED1B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unhideWhenUsed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146B6E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26de13ac-8c23-4cbc-8326-8ab85b44898a</errorID>
      <errorWord>绍</errorWord>
      <group>L1_Word</group>
      <groupName>字词问题</groupName>
      <ability>L2_Typo</ability>
      <abilityName>字词错误</abilityName>
      <candidateList>
        <item>绍一</item>
      </candidateList>
      <explain/>
      <paraID>28573365</paraID>
      <start>2</start>
      <end>3</end>
      <status>unmodified</status>
      <modifiedWord/>
      <trackRevisions>false</trackRevisions>
    </reviewItem>
    <reviewItem>
      <errorID>81806527-201e-4e6b-ad86-27ab7a4bf5d9</errorID>
      <errorWord>公司的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28573365</paraID>
      <start>4</start>
      <end>7</end>
      <status>unmodified</status>
      <modifiedWord/>
      <trackRevisions>false</trackRevisions>
    </reviewItem>
    <reviewItem>
      <errorID>472ad75f-fb6d-4edf-af90-0f042b04ad51</errorID>
      <errorWord>十五五期间</errorWord>
      <group>L1_Political</group>
      <groupName>政治性问题</groupName>
      <ability>L2_Keyword</ability>
      <abilityName>固定表述</abilityName>
      <candidateList>
        <item>“十五五”期间</item>
      </candidateList>
      <explain>注意检查当前固定表述标点是否使用规范。</explain>
      <paraID>28573365</paraID>
      <start>7</start>
      <end>12</end>
      <status>unmodified</status>
      <modifiedWord/>
      <trackRevisions>false</trackRevisions>
    </reviewItem>
    <reviewItem>
      <errorID>e7661302-b322-4e51-aaba-baf667ff21e6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5AA6EFD2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0173CF-09F3-48C9-B2C5-BDF5763F7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~WRL0024.tmp</Template>
  <TotalTime>1</TotalTime>
  <Pages>3</Pages>
  <Words>1596</Words>
  <Characters>329</Characters>
  <Application>Microsoft Office Word</Application>
  <DocSecurity>0</DocSecurity>
  <Lines>2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钟莉</cp:lastModifiedBy>
  <cp:revision>2</cp:revision>
  <cp:lastPrinted>2025-09-01T06:55:00Z</cp:lastPrinted>
  <dcterms:created xsi:type="dcterms:W3CDTF">2026-03-31T09:01:00Z</dcterms:created>
  <dcterms:modified xsi:type="dcterms:W3CDTF">2026-03-31T09:01:00Z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2709D9FAC46A495D9305B1AFBD23E83F_13</vt:lpwstr>
  </property>
  <property fmtid="{D5CDD505-2E9C-101B-9397-08002B2CF9AE}" pid="4" name="KSOTemplateDocerSaveRecord">
    <vt:lpwstr>eyJoZGlkIjoiOTJmMjljM2YxNWFkMTIyYTg0MGM5M2Y3YzhlM2RmMzYiLCJ1c2VySWQiOiIxNDg0NzA4MDYzIn0=</vt:lpwstr>
  </property>
</Properties>
</file>