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7284" w14:textId="77777777" w:rsidR="00A92E3C" w:rsidRDefault="00000000">
      <w:pPr>
        <w:pStyle w:val="a5"/>
        <w:spacing w:before="41"/>
        <w:ind w:left="0"/>
        <w:jc w:val="both"/>
        <w:rPr>
          <w:rFonts w:asciiTheme="minorEastAsia" w:eastAsiaTheme="minorEastAsia" w:hAnsiTheme="minorEastAsia" w:hint="eastAsia"/>
          <w:sz w:val="24"/>
          <w:szCs w:val="24"/>
        </w:rPr>
      </w:pPr>
      <w:bookmarkStart w:id="0" w:name="_Hlk114058811"/>
      <w:r>
        <w:rPr>
          <w:rFonts w:hint="eastAsia"/>
          <w:sz w:val="24"/>
          <w:szCs w:val="24"/>
        </w:rPr>
        <w:t>证券代码：</w:t>
      </w:r>
      <w:r>
        <w:rPr>
          <w:sz w:val="24"/>
          <w:szCs w:val="24"/>
        </w:rPr>
        <w:t xml:space="preserve">600821  </w:t>
      </w:r>
      <w:r>
        <w:rPr>
          <w:sz w:val="24"/>
        </w:rPr>
        <w:t xml:space="preserve"> </w:t>
      </w:r>
      <w:r>
        <w:rPr>
          <w:sz w:val="24"/>
          <w:szCs w:val="24"/>
        </w:rPr>
        <w:t xml:space="preserve"> </w:t>
      </w:r>
      <w:r>
        <w:rPr>
          <w:sz w:val="24"/>
        </w:rPr>
        <w:t xml:space="preserve">                               </w:t>
      </w:r>
      <w:r>
        <w:rPr>
          <w:rFonts w:hint="eastAsia"/>
          <w:sz w:val="24"/>
          <w:szCs w:val="24"/>
        </w:rPr>
        <w:t>证券简称：金开新能</w:t>
      </w:r>
      <w:r>
        <w:rPr>
          <w:sz w:val="24"/>
        </w:rPr>
        <w:t xml:space="preserve"> </w:t>
      </w:r>
    </w:p>
    <w:bookmarkEnd w:id="0"/>
    <w:p w14:paraId="15BFFBAF" w14:textId="77777777" w:rsidR="00A92E3C" w:rsidRDefault="00000000">
      <w:pPr>
        <w:spacing w:before="94" w:line="555" w:lineRule="exact"/>
        <w:jc w:val="center"/>
        <w:rPr>
          <w:rFonts w:hint="eastAsia"/>
          <w:b/>
          <w:color w:val="FF0000"/>
          <w:sz w:val="32"/>
          <w:szCs w:val="32"/>
        </w:rPr>
      </w:pPr>
      <w:r>
        <w:rPr>
          <w:b/>
          <w:color w:val="FF0000"/>
          <w:sz w:val="32"/>
          <w:szCs w:val="32"/>
        </w:rPr>
        <w:t>金开新能源股份有限公司</w:t>
      </w:r>
    </w:p>
    <w:p w14:paraId="58A4BFC4" w14:textId="77777777" w:rsidR="00A92E3C" w:rsidRDefault="00000000">
      <w:pPr>
        <w:pStyle w:val="a5"/>
        <w:ind w:left="0"/>
        <w:jc w:val="center"/>
        <w:rPr>
          <w:rFonts w:hint="eastAsia"/>
          <w:b/>
          <w:sz w:val="24"/>
          <w:szCs w:val="24"/>
        </w:rPr>
      </w:pPr>
      <w:r>
        <w:rPr>
          <w:b/>
          <w:color w:val="FF0000"/>
          <w:sz w:val="32"/>
          <w:szCs w:val="32"/>
        </w:rPr>
        <w:t>202</w:t>
      </w:r>
      <w:r>
        <w:rPr>
          <w:rFonts w:hint="eastAsia"/>
          <w:b/>
          <w:color w:val="FF0000"/>
          <w:sz w:val="32"/>
          <w:szCs w:val="32"/>
          <w:lang w:val="en-US"/>
        </w:rPr>
        <w:t>6</w:t>
      </w:r>
      <w:r>
        <w:rPr>
          <w:b/>
          <w:color w:val="FF0000"/>
          <w:sz w:val="32"/>
          <w:szCs w:val="32"/>
        </w:rPr>
        <w:t>年</w:t>
      </w:r>
      <w:r>
        <w:rPr>
          <w:rFonts w:hint="eastAsia"/>
          <w:b/>
          <w:color w:val="FF0000"/>
          <w:sz w:val="32"/>
          <w:szCs w:val="32"/>
          <w:lang w:val="en-US"/>
        </w:rPr>
        <w:t>3</w:t>
      </w:r>
      <w:r>
        <w:rPr>
          <w:b/>
          <w:color w:val="FF0000"/>
          <w:sz w:val="32"/>
          <w:szCs w:val="32"/>
        </w:rPr>
        <w:t>月投资者关系活动记录表</w:t>
      </w:r>
    </w:p>
    <w:tbl>
      <w:tblPr>
        <w:tblStyle w:val="af"/>
        <w:tblW w:w="0" w:type="auto"/>
        <w:tblLook w:val="04A0" w:firstRow="1" w:lastRow="0" w:firstColumn="1" w:lastColumn="0" w:noHBand="0" w:noVBand="1"/>
      </w:tblPr>
      <w:tblGrid>
        <w:gridCol w:w="2518"/>
        <w:gridCol w:w="6004"/>
      </w:tblGrid>
      <w:tr w:rsidR="00A92E3C" w14:paraId="31E047AD" w14:textId="77777777">
        <w:tc>
          <w:tcPr>
            <w:tcW w:w="2518" w:type="dxa"/>
          </w:tcPr>
          <w:p w14:paraId="43AEDBA6" w14:textId="77777777" w:rsidR="00A92E3C" w:rsidRDefault="00000000">
            <w:pPr>
              <w:pStyle w:val="a5"/>
              <w:spacing w:before="14"/>
              <w:ind w:left="0"/>
              <w:contextualSpacing/>
              <w:jc w:val="both"/>
              <w:rPr>
                <w:rFonts w:cs="黑体-WinCharSetFFFF-H" w:hint="eastAsia"/>
                <w:b/>
                <w:bCs/>
                <w:sz w:val="24"/>
                <w:szCs w:val="24"/>
              </w:rPr>
            </w:pPr>
            <w:r>
              <w:rPr>
                <w:rFonts w:cs="黑体-WinCharSetFFFF-H" w:hint="eastAsia"/>
                <w:b/>
                <w:bCs/>
                <w:sz w:val="24"/>
                <w:szCs w:val="24"/>
              </w:rPr>
              <w:t>投资者关系活动类别</w:t>
            </w:r>
          </w:p>
        </w:tc>
        <w:tc>
          <w:tcPr>
            <w:tcW w:w="6004" w:type="dxa"/>
          </w:tcPr>
          <w:p w14:paraId="48AB265D" w14:textId="77777777" w:rsidR="00A92E3C" w:rsidRDefault="00000000">
            <w:pPr>
              <w:pStyle w:val="a5"/>
              <w:spacing w:before="14"/>
              <w:ind w:left="0"/>
              <w:contextualSpacing/>
              <w:jc w:val="both"/>
              <w:rPr>
                <w:rFonts w:cs="黑体-WinCharSetFFFF-H" w:hint="eastAsia"/>
                <w:sz w:val="24"/>
                <w:szCs w:val="24"/>
              </w:rPr>
            </w:pPr>
            <w:r>
              <w:rPr>
                <w:rFonts w:cs="黑体-WinCharSetFFFF-H" w:hint="eastAsia"/>
                <w:sz w:val="24"/>
                <w:szCs w:val="24"/>
              </w:rPr>
              <w:t>■</w:t>
            </w:r>
            <w:r>
              <w:rPr>
                <w:rFonts w:cs="黑体-WinCharSetFFFF-H"/>
                <w:sz w:val="24"/>
                <w:szCs w:val="24"/>
              </w:rPr>
              <w:t xml:space="preserve">特定对象调研   </w:t>
            </w:r>
            <w:r>
              <w:rPr>
                <w:rFonts w:cs="黑体-WinCharSetFFFF-H" w:hint="eastAsia"/>
                <w:sz w:val="24"/>
                <w:szCs w:val="24"/>
              </w:rPr>
              <w:t>■</w:t>
            </w:r>
            <w:r>
              <w:rPr>
                <w:rFonts w:cs="黑体-WinCharSetFFFF-H"/>
                <w:sz w:val="24"/>
                <w:szCs w:val="24"/>
              </w:rPr>
              <w:t>分析师会议</w:t>
            </w:r>
          </w:p>
          <w:p w14:paraId="123753C7" w14:textId="77777777" w:rsidR="00A92E3C" w:rsidRDefault="00000000">
            <w:pPr>
              <w:pStyle w:val="a5"/>
              <w:spacing w:before="14"/>
              <w:ind w:left="0"/>
              <w:contextualSpacing/>
              <w:jc w:val="both"/>
              <w:rPr>
                <w:rFonts w:cs="黑体-WinCharSetFFFF-H" w:hint="eastAsia"/>
                <w:sz w:val="24"/>
                <w:szCs w:val="24"/>
              </w:rPr>
            </w:pPr>
            <w:r>
              <w:rPr>
                <w:rFonts w:cs="黑体-WinCharSetFFFF-H"/>
                <w:sz w:val="24"/>
                <w:szCs w:val="24"/>
              </w:rPr>
              <w:t>□媒体采访       □业绩说明会</w:t>
            </w:r>
          </w:p>
          <w:p w14:paraId="3CA5EAC5" w14:textId="77777777" w:rsidR="00A92E3C" w:rsidRDefault="00000000">
            <w:pPr>
              <w:pStyle w:val="a5"/>
              <w:spacing w:before="14"/>
              <w:ind w:left="0"/>
              <w:contextualSpacing/>
              <w:jc w:val="both"/>
              <w:rPr>
                <w:rFonts w:cs="黑体-WinCharSetFFFF-H" w:hint="eastAsia"/>
                <w:sz w:val="24"/>
                <w:szCs w:val="24"/>
              </w:rPr>
            </w:pPr>
            <w:r>
              <w:rPr>
                <w:rFonts w:cs="黑体-WinCharSetFFFF-H"/>
                <w:sz w:val="24"/>
                <w:szCs w:val="24"/>
              </w:rPr>
              <w:t xml:space="preserve">□新闻发布会     </w:t>
            </w:r>
            <w:r>
              <w:rPr>
                <w:rFonts w:cs="黑体-WinCharSetFFFF-H" w:hint="eastAsia"/>
                <w:sz w:val="24"/>
                <w:szCs w:val="24"/>
              </w:rPr>
              <w:t>□</w:t>
            </w:r>
            <w:r>
              <w:rPr>
                <w:rFonts w:cs="黑体-WinCharSetFFFF-H"/>
                <w:sz w:val="24"/>
                <w:szCs w:val="24"/>
              </w:rPr>
              <w:t>路演活动</w:t>
            </w:r>
          </w:p>
          <w:p w14:paraId="262D45EC" w14:textId="77777777" w:rsidR="00A92E3C" w:rsidRDefault="00000000">
            <w:pPr>
              <w:pStyle w:val="a5"/>
              <w:spacing w:before="14"/>
              <w:ind w:left="0"/>
              <w:contextualSpacing/>
              <w:jc w:val="both"/>
              <w:rPr>
                <w:rFonts w:cs="黑体-WinCharSetFFFF-H" w:hint="eastAsia"/>
                <w:sz w:val="24"/>
                <w:szCs w:val="24"/>
              </w:rPr>
            </w:pPr>
            <w:r>
              <w:rPr>
                <w:rFonts w:cs="黑体-WinCharSetFFFF-H"/>
                <w:sz w:val="24"/>
                <w:szCs w:val="24"/>
              </w:rPr>
              <w:t>□现场参观</w:t>
            </w:r>
            <w:r>
              <w:rPr>
                <w:rFonts w:cs="黑体-WinCharSetFFFF-H" w:hint="eastAsia"/>
                <w:sz w:val="24"/>
                <w:szCs w:val="24"/>
              </w:rPr>
              <w:t xml:space="preserve"> </w:t>
            </w:r>
            <w:r>
              <w:rPr>
                <w:rFonts w:cs="黑体-WinCharSetFFFF-H"/>
                <w:sz w:val="24"/>
                <w:szCs w:val="24"/>
              </w:rPr>
              <w:t xml:space="preserve">      </w:t>
            </w:r>
            <w:r>
              <w:rPr>
                <w:rFonts w:cs="黑体-WinCharSetFFFF-H" w:hint="eastAsia"/>
                <w:sz w:val="24"/>
                <w:szCs w:val="24"/>
              </w:rPr>
              <w:t>□</w:t>
            </w:r>
            <w:r>
              <w:rPr>
                <w:rFonts w:cs="黑体-WinCharSetFFFF-H"/>
                <w:sz w:val="24"/>
                <w:szCs w:val="24"/>
              </w:rPr>
              <w:t>其他</w:t>
            </w:r>
            <w:r>
              <w:rPr>
                <w:rFonts w:cs="黑体-WinCharSetFFFF-H" w:hint="eastAsia"/>
                <w:sz w:val="24"/>
                <w:szCs w:val="24"/>
              </w:rPr>
              <w:t>（券商策略会）</w:t>
            </w:r>
          </w:p>
        </w:tc>
      </w:tr>
      <w:tr w:rsidR="00A92E3C" w14:paraId="4D1941FD" w14:textId="77777777">
        <w:tc>
          <w:tcPr>
            <w:tcW w:w="2518" w:type="dxa"/>
          </w:tcPr>
          <w:p w14:paraId="46FDFBF2" w14:textId="77777777" w:rsidR="00A92E3C" w:rsidRDefault="00000000">
            <w:pPr>
              <w:pStyle w:val="a5"/>
              <w:spacing w:before="14"/>
              <w:ind w:left="0"/>
              <w:contextualSpacing/>
              <w:jc w:val="both"/>
              <w:rPr>
                <w:rFonts w:cs="黑体-WinCharSetFFFF-H" w:hint="eastAsia"/>
                <w:b/>
                <w:bCs/>
                <w:sz w:val="24"/>
                <w:szCs w:val="24"/>
              </w:rPr>
            </w:pPr>
            <w:r>
              <w:rPr>
                <w:rFonts w:cs="黑体-WinCharSetFFFF-H" w:hint="eastAsia"/>
                <w:b/>
                <w:bCs/>
                <w:sz w:val="24"/>
                <w:szCs w:val="24"/>
              </w:rPr>
              <w:t>参与单位名称</w:t>
            </w:r>
          </w:p>
        </w:tc>
        <w:tc>
          <w:tcPr>
            <w:tcW w:w="6004" w:type="dxa"/>
          </w:tcPr>
          <w:p w14:paraId="18B75A8B" w14:textId="77777777" w:rsidR="00A92E3C" w:rsidRDefault="00000000">
            <w:pPr>
              <w:pStyle w:val="a5"/>
              <w:spacing w:before="14"/>
              <w:ind w:left="0"/>
              <w:contextualSpacing/>
              <w:jc w:val="both"/>
              <w:rPr>
                <w:rFonts w:cs="黑体-WinCharSetFFFF-H" w:hint="eastAsia"/>
                <w:sz w:val="24"/>
                <w:szCs w:val="24"/>
              </w:rPr>
            </w:pPr>
            <w:bookmarkStart w:id="1" w:name="OLE_LINK5"/>
            <w:bookmarkStart w:id="2" w:name="OLE_LINK4"/>
            <w:r>
              <w:rPr>
                <w:sz w:val="24"/>
                <w:szCs w:val="24"/>
              </w:rPr>
              <w:t>新华资产、</w:t>
            </w:r>
            <w:r>
              <w:rPr>
                <w:rFonts w:cs="黑体-WinCharSetFFFF-H" w:hint="eastAsia"/>
                <w:sz w:val="24"/>
                <w:szCs w:val="24"/>
              </w:rPr>
              <w:t>长江证券、华</w:t>
            </w:r>
            <w:r>
              <w:rPr>
                <w:rFonts w:cs="黑体-WinCharSetFFFF-H" w:hint="eastAsia"/>
                <w:sz w:val="24"/>
                <w:szCs w:val="24"/>
                <w:lang w:val="en-US"/>
              </w:rPr>
              <w:t>创</w:t>
            </w:r>
            <w:r>
              <w:rPr>
                <w:rFonts w:cs="黑体-WinCharSetFFFF-H" w:hint="eastAsia"/>
                <w:sz w:val="24"/>
                <w:szCs w:val="24"/>
              </w:rPr>
              <w:t>证券、</w:t>
            </w:r>
            <w:r>
              <w:rPr>
                <w:rFonts w:cs="黑体-WinCharSetFFFF-H" w:hint="eastAsia"/>
                <w:sz w:val="24"/>
                <w:szCs w:val="24"/>
                <w:lang w:val="en-US"/>
              </w:rPr>
              <w:t>国泰海通、中金证券</w:t>
            </w:r>
            <w:r>
              <w:rPr>
                <w:rFonts w:cs="黑体-WinCharSetFFFF-H" w:hint="eastAsia"/>
                <w:sz w:val="24"/>
                <w:szCs w:val="24"/>
              </w:rPr>
              <w:t>等</w:t>
            </w:r>
            <w:bookmarkEnd w:id="1"/>
            <w:bookmarkEnd w:id="2"/>
          </w:p>
        </w:tc>
      </w:tr>
      <w:tr w:rsidR="00A92E3C" w14:paraId="23FC778F" w14:textId="77777777">
        <w:tc>
          <w:tcPr>
            <w:tcW w:w="2518" w:type="dxa"/>
          </w:tcPr>
          <w:p w14:paraId="5F6EE1CE" w14:textId="77777777" w:rsidR="00A92E3C" w:rsidRDefault="00000000">
            <w:pPr>
              <w:pStyle w:val="a5"/>
              <w:spacing w:before="14"/>
              <w:ind w:left="0"/>
              <w:contextualSpacing/>
              <w:jc w:val="both"/>
              <w:rPr>
                <w:rFonts w:cs="黑体-WinCharSetFFFF-H" w:hint="eastAsia"/>
                <w:b/>
                <w:bCs/>
                <w:sz w:val="24"/>
                <w:szCs w:val="24"/>
              </w:rPr>
            </w:pPr>
            <w:r>
              <w:rPr>
                <w:rFonts w:cs="黑体-WinCharSetFFFF-H" w:hint="eastAsia"/>
                <w:b/>
                <w:bCs/>
                <w:sz w:val="24"/>
                <w:szCs w:val="24"/>
              </w:rPr>
              <w:t>时间</w:t>
            </w:r>
          </w:p>
        </w:tc>
        <w:tc>
          <w:tcPr>
            <w:tcW w:w="6004" w:type="dxa"/>
          </w:tcPr>
          <w:p w14:paraId="3BD98CD4" w14:textId="77777777" w:rsidR="00A92E3C" w:rsidRDefault="00000000">
            <w:pPr>
              <w:pStyle w:val="a5"/>
              <w:spacing w:before="14"/>
              <w:ind w:left="0"/>
              <w:contextualSpacing/>
              <w:jc w:val="both"/>
              <w:rPr>
                <w:rFonts w:cs="黑体-WinCharSetFFFF-H" w:hint="eastAsia"/>
                <w:sz w:val="24"/>
                <w:szCs w:val="24"/>
              </w:rPr>
            </w:pPr>
            <w:r>
              <w:rPr>
                <w:rFonts w:cs="黑体-WinCharSetFFFF-H" w:hint="eastAsia"/>
                <w:sz w:val="24"/>
                <w:szCs w:val="24"/>
              </w:rPr>
              <w:t>2</w:t>
            </w:r>
            <w:r>
              <w:rPr>
                <w:rFonts w:cs="黑体-WinCharSetFFFF-H"/>
                <w:sz w:val="24"/>
                <w:szCs w:val="24"/>
              </w:rPr>
              <w:t>02</w:t>
            </w:r>
            <w:r>
              <w:rPr>
                <w:rFonts w:cs="黑体-WinCharSetFFFF-H" w:hint="eastAsia"/>
                <w:sz w:val="24"/>
                <w:szCs w:val="24"/>
                <w:lang w:val="en-US"/>
              </w:rPr>
              <w:t>6</w:t>
            </w:r>
            <w:r>
              <w:rPr>
                <w:rFonts w:cs="黑体-WinCharSetFFFF-H" w:hint="eastAsia"/>
                <w:sz w:val="24"/>
                <w:szCs w:val="24"/>
              </w:rPr>
              <w:t>年</w:t>
            </w:r>
            <w:r>
              <w:rPr>
                <w:rFonts w:cs="黑体-WinCharSetFFFF-H" w:hint="eastAsia"/>
                <w:sz w:val="24"/>
                <w:szCs w:val="24"/>
                <w:lang w:val="en-US"/>
              </w:rPr>
              <w:t>3</w:t>
            </w:r>
            <w:r>
              <w:rPr>
                <w:rFonts w:cs="黑体-WinCharSetFFFF-H" w:hint="eastAsia"/>
                <w:sz w:val="24"/>
                <w:szCs w:val="24"/>
              </w:rPr>
              <w:t>月</w:t>
            </w:r>
          </w:p>
        </w:tc>
      </w:tr>
      <w:tr w:rsidR="00A92E3C" w14:paraId="3B0D4927" w14:textId="77777777">
        <w:tc>
          <w:tcPr>
            <w:tcW w:w="2518" w:type="dxa"/>
          </w:tcPr>
          <w:p w14:paraId="45A65C21" w14:textId="77777777" w:rsidR="00A92E3C" w:rsidRDefault="00000000">
            <w:pPr>
              <w:pStyle w:val="a5"/>
              <w:spacing w:before="14"/>
              <w:ind w:left="0"/>
              <w:contextualSpacing/>
              <w:jc w:val="both"/>
              <w:rPr>
                <w:rFonts w:cs="黑体-WinCharSetFFFF-H" w:hint="eastAsia"/>
                <w:b/>
                <w:bCs/>
                <w:sz w:val="24"/>
                <w:szCs w:val="24"/>
              </w:rPr>
            </w:pPr>
            <w:r>
              <w:rPr>
                <w:rFonts w:cs="黑体-WinCharSetFFFF-H" w:hint="eastAsia"/>
                <w:b/>
                <w:bCs/>
                <w:sz w:val="24"/>
                <w:szCs w:val="24"/>
              </w:rPr>
              <w:t>地点</w:t>
            </w:r>
          </w:p>
        </w:tc>
        <w:tc>
          <w:tcPr>
            <w:tcW w:w="6004" w:type="dxa"/>
          </w:tcPr>
          <w:p w14:paraId="1A293CC6" w14:textId="77777777" w:rsidR="00A92E3C" w:rsidRDefault="00000000">
            <w:pPr>
              <w:pStyle w:val="a5"/>
              <w:spacing w:before="14"/>
              <w:ind w:left="0"/>
              <w:contextualSpacing/>
              <w:jc w:val="both"/>
              <w:rPr>
                <w:rFonts w:cs="黑体-WinCharSetFFFF-H" w:hint="eastAsia"/>
                <w:sz w:val="24"/>
                <w:szCs w:val="24"/>
              </w:rPr>
            </w:pPr>
            <w:r>
              <w:rPr>
                <w:rFonts w:cs="黑体-WinCharSetFFFF-H" w:hint="eastAsia"/>
                <w:sz w:val="24"/>
                <w:szCs w:val="24"/>
              </w:rPr>
              <w:t>北京</w:t>
            </w:r>
          </w:p>
        </w:tc>
      </w:tr>
      <w:tr w:rsidR="00A92E3C" w14:paraId="71545F2D" w14:textId="77777777">
        <w:trPr>
          <w:trHeight w:val="371"/>
        </w:trPr>
        <w:tc>
          <w:tcPr>
            <w:tcW w:w="2518" w:type="dxa"/>
          </w:tcPr>
          <w:p w14:paraId="0E1AA2C9" w14:textId="77777777" w:rsidR="00A92E3C" w:rsidRDefault="00000000">
            <w:pPr>
              <w:pStyle w:val="a5"/>
              <w:spacing w:before="14"/>
              <w:ind w:left="0"/>
              <w:contextualSpacing/>
              <w:jc w:val="both"/>
              <w:rPr>
                <w:rFonts w:cs="黑体-WinCharSetFFFF-H" w:hint="eastAsia"/>
                <w:b/>
                <w:bCs/>
                <w:sz w:val="24"/>
                <w:szCs w:val="24"/>
              </w:rPr>
            </w:pPr>
            <w:r>
              <w:rPr>
                <w:rFonts w:cs="黑体-WinCharSetFFFF-H" w:hint="eastAsia"/>
                <w:b/>
                <w:bCs/>
                <w:sz w:val="24"/>
                <w:szCs w:val="24"/>
              </w:rPr>
              <w:t>公司接待人员</w:t>
            </w:r>
          </w:p>
        </w:tc>
        <w:tc>
          <w:tcPr>
            <w:tcW w:w="6004" w:type="dxa"/>
          </w:tcPr>
          <w:p w14:paraId="2EE3B99C" w14:textId="77777777" w:rsidR="00A92E3C" w:rsidRDefault="00000000">
            <w:pPr>
              <w:pStyle w:val="a5"/>
              <w:spacing w:before="14"/>
              <w:ind w:left="0"/>
              <w:contextualSpacing/>
              <w:jc w:val="both"/>
              <w:rPr>
                <w:rFonts w:cs="黑体-WinCharSetFFFF-H" w:hint="eastAsia"/>
                <w:sz w:val="24"/>
                <w:szCs w:val="24"/>
              </w:rPr>
            </w:pPr>
            <w:r>
              <w:rPr>
                <w:rFonts w:cs="黑体-WinCharSetFFFF-H" w:hint="eastAsia"/>
                <w:sz w:val="24"/>
                <w:szCs w:val="24"/>
              </w:rPr>
              <w:t>投资者关系工作人员</w:t>
            </w:r>
          </w:p>
        </w:tc>
      </w:tr>
      <w:tr w:rsidR="00A92E3C" w14:paraId="33707EF7" w14:textId="77777777">
        <w:trPr>
          <w:trHeight w:val="361"/>
        </w:trPr>
        <w:tc>
          <w:tcPr>
            <w:tcW w:w="8522" w:type="dxa"/>
            <w:gridSpan w:val="2"/>
          </w:tcPr>
          <w:p w14:paraId="33EA028C" w14:textId="77777777" w:rsidR="00A92E3C" w:rsidRDefault="00000000">
            <w:pPr>
              <w:pStyle w:val="a5"/>
              <w:spacing w:before="14"/>
              <w:ind w:left="0"/>
              <w:contextualSpacing/>
              <w:jc w:val="center"/>
              <w:rPr>
                <w:rFonts w:cs="黑体-WinCharSetFFFF-H" w:hint="eastAsia"/>
                <w:b/>
                <w:bCs/>
                <w:sz w:val="24"/>
                <w:szCs w:val="24"/>
              </w:rPr>
            </w:pPr>
            <w:r>
              <w:rPr>
                <w:rFonts w:cs="黑体-WinCharSetFFFF-H" w:hint="eastAsia"/>
                <w:b/>
                <w:bCs/>
                <w:sz w:val="24"/>
                <w:szCs w:val="24"/>
              </w:rPr>
              <w:t>投资者关系活动主要内容</w:t>
            </w:r>
          </w:p>
        </w:tc>
      </w:tr>
      <w:tr w:rsidR="00A92E3C" w14:paraId="0570E3AE" w14:textId="77777777">
        <w:trPr>
          <w:trHeight w:val="361"/>
        </w:trPr>
        <w:tc>
          <w:tcPr>
            <w:tcW w:w="8522" w:type="dxa"/>
            <w:gridSpan w:val="2"/>
          </w:tcPr>
          <w:p w14:paraId="1F29597A" w14:textId="77777777" w:rsidR="00A92E3C" w:rsidRDefault="00000000">
            <w:pPr>
              <w:pStyle w:val="a5"/>
              <w:spacing w:before="14"/>
              <w:ind w:left="0"/>
              <w:contextualSpacing/>
              <w:jc w:val="both"/>
              <w:rPr>
                <w:rFonts w:cs="黑体-WinCharSetFFFF-H" w:hint="eastAsia"/>
                <w:b/>
                <w:bCs/>
                <w:sz w:val="24"/>
                <w:szCs w:val="24"/>
              </w:rPr>
            </w:pPr>
            <w:r>
              <w:rPr>
                <w:rFonts w:cs="黑体-WinCharSetFFFF-H" w:hint="eastAsia"/>
                <w:b/>
                <w:bCs/>
                <w:sz w:val="24"/>
                <w:szCs w:val="24"/>
              </w:rPr>
              <w:t>问题</w:t>
            </w:r>
            <w:proofErr w:type="gramStart"/>
            <w:r>
              <w:rPr>
                <w:rFonts w:cs="黑体-WinCharSetFFFF-H" w:hint="eastAsia"/>
                <w:b/>
                <w:bCs/>
                <w:sz w:val="24"/>
                <w:szCs w:val="24"/>
              </w:rPr>
              <w:t>一</w:t>
            </w:r>
            <w:proofErr w:type="gramEnd"/>
            <w:r>
              <w:rPr>
                <w:rFonts w:cs="黑体-WinCharSetFFFF-H" w:hint="eastAsia"/>
                <w:b/>
                <w:bCs/>
                <w:sz w:val="24"/>
                <w:szCs w:val="24"/>
              </w:rPr>
              <w:t>：</w:t>
            </w:r>
            <w:r>
              <w:rPr>
                <w:rFonts w:hint="eastAsia"/>
                <w:b/>
                <w:bCs/>
                <w:sz w:val="24"/>
              </w:rPr>
              <w:t>2025年我国电力市场可再生能源并网运行情况如何？</w:t>
            </w:r>
          </w:p>
          <w:p w14:paraId="03D94B7B" w14:textId="77777777" w:rsidR="00A92E3C" w:rsidRDefault="00000000">
            <w:pPr>
              <w:pStyle w:val="a5"/>
              <w:spacing w:before="14"/>
              <w:ind w:left="0" w:firstLineChars="200" w:firstLine="480"/>
              <w:contextualSpacing/>
              <w:jc w:val="both"/>
              <w:rPr>
                <w:rFonts w:cs="黑体-WinCharSetFFFF-H" w:hint="eastAsia"/>
                <w:sz w:val="24"/>
                <w:szCs w:val="24"/>
              </w:rPr>
            </w:pPr>
            <w:r>
              <w:rPr>
                <w:rFonts w:cs="黑体-WinCharSetFFFF-H" w:hint="eastAsia"/>
                <w:sz w:val="24"/>
                <w:szCs w:val="24"/>
              </w:rPr>
              <w:t>答：根据国家能源局发布的数据，2025年全国可再生能源发电新增装机4.52亿千瓦，同比增长21%，占全国电力新增装机的83%，其中风电新增1.2亿千瓦，太阳能发电新增3.18亿千瓦；截至2025年底，全国可再生能源装机总量达23.4亿千瓦，同比增长24%，约占全国电力总装机的60%，其中风电装机6.4亿千瓦，太阳能发电装机12亿千瓦。全社会用电量中每10度电有近4度是绿电，全社会用电增量全部由可再生能源新增发电量提供。2025年全国可再生能源发电量3.99</w:t>
            </w:r>
            <w:proofErr w:type="gramStart"/>
            <w:r>
              <w:rPr>
                <w:rFonts w:cs="黑体-WinCharSetFFFF-H" w:hint="eastAsia"/>
                <w:sz w:val="24"/>
                <w:szCs w:val="24"/>
              </w:rPr>
              <w:t>万亿</w:t>
            </w:r>
            <w:proofErr w:type="gramEnd"/>
            <w:r>
              <w:rPr>
                <w:rFonts w:cs="黑体-WinCharSetFFFF-H" w:hint="eastAsia"/>
                <w:sz w:val="24"/>
                <w:szCs w:val="24"/>
              </w:rPr>
              <w:t>千瓦时，同比增长15%，约占全部发电量的38%，超过同期第三产业用电量（19</w:t>
            </w:r>
            <w:r>
              <w:rPr>
                <w:rFonts w:cs="黑体-WinCharSetFFFF-H" w:hint="eastAsia"/>
                <w:sz w:val="24"/>
                <w:szCs w:val="24"/>
                <w:lang w:val="en-US"/>
              </w:rPr>
              <w:t>,</w:t>
            </w:r>
            <w:r>
              <w:rPr>
                <w:rFonts w:cs="黑体-WinCharSetFFFF-H" w:hint="eastAsia"/>
                <w:sz w:val="24"/>
                <w:szCs w:val="24"/>
              </w:rPr>
              <w:t>942亿千瓦时）与城乡居民生活用电量（15</w:t>
            </w:r>
            <w:r>
              <w:rPr>
                <w:rFonts w:cs="黑体-WinCharSetFFFF-H" w:hint="eastAsia"/>
                <w:sz w:val="24"/>
                <w:szCs w:val="24"/>
                <w:lang w:val="en-US"/>
              </w:rPr>
              <w:t>,</w:t>
            </w:r>
            <w:r>
              <w:rPr>
                <w:rFonts w:cs="黑体-WinCharSetFFFF-H" w:hint="eastAsia"/>
                <w:sz w:val="24"/>
                <w:szCs w:val="24"/>
              </w:rPr>
              <w:t>880亿千瓦时）之和；2025年全国新增可再生能源发电量5</w:t>
            </w:r>
            <w:r>
              <w:rPr>
                <w:rFonts w:cs="黑体-WinCharSetFFFF-H" w:hint="eastAsia"/>
                <w:sz w:val="24"/>
                <w:szCs w:val="24"/>
                <w:lang w:val="en-US"/>
              </w:rPr>
              <w:t>,</w:t>
            </w:r>
            <w:r>
              <w:rPr>
                <w:rFonts w:cs="黑体-WinCharSetFFFF-H" w:hint="eastAsia"/>
                <w:sz w:val="24"/>
                <w:szCs w:val="24"/>
              </w:rPr>
              <w:t>193亿千瓦时，已经覆盖全社会用电增量（5</w:t>
            </w:r>
            <w:r>
              <w:rPr>
                <w:rFonts w:cs="黑体-WinCharSetFFFF-H" w:hint="eastAsia"/>
                <w:sz w:val="24"/>
                <w:szCs w:val="24"/>
                <w:lang w:val="en-US"/>
              </w:rPr>
              <w:t>,</w:t>
            </w:r>
            <w:r>
              <w:rPr>
                <w:rFonts w:cs="黑体-WinCharSetFFFF-H" w:hint="eastAsia"/>
                <w:sz w:val="24"/>
                <w:szCs w:val="24"/>
              </w:rPr>
              <w:t>161亿千瓦时）。</w:t>
            </w:r>
          </w:p>
          <w:p w14:paraId="6A0AB703" w14:textId="77777777" w:rsidR="00A92E3C" w:rsidRDefault="00000000">
            <w:pPr>
              <w:pStyle w:val="a5"/>
              <w:spacing w:before="14"/>
              <w:ind w:left="0"/>
              <w:contextualSpacing/>
              <w:jc w:val="both"/>
              <w:rPr>
                <w:rFonts w:cs="黑体-WinCharSetFFFF-H" w:hint="eastAsia"/>
                <w:b/>
                <w:bCs/>
                <w:sz w:val="24"/>
                <w:szCs w:val="24"/>
                <w:lang w:val="en-US"/>
              </w:rPr>
            </w:pPr>
            <w:r>
              <w:rPr>
                <w:rFonts w:cs="黑体-WinCharSetFFFF-H" w:hint="eastAsia"/>
                <w:b/>
                <w:bCs/>
                <w:sz w:val="24"/>
                <w:szCs w:val="24"/>
              </w:rPr>
              <w:t>问题二：</w:t>
            </w:r>
            <w:r>
              <w:rPr>
                <w:rFonts w:hint="eastAsia"/>
                <w:b/>
                <w:bCs/>
                <w:sz w:val="24"/>
              </w:rPr>
              <w:t>公司的战略布局近期是否有调整？</w:t>
            </w:r>
          </w:p>
          <w:p w14:paraId="26789F1D" w14:textId="77777777" w:rsidR="00A92E3C" w:rsidRDefault="00000000">
            <w:pPr>
              <w:pStyle w:val="a5"/>
              <w:spacing w:before="14"/>
              <w:ind w:left="0" w:firstLineChars="200" w:firstLine="482"/>
              <w:contextualSpacing/>
              <w:jc w:val="both"/>
              <w:rPr>
                <w:rFonts w:cs="黑体-WinCharSetFFFF-H" w:hint="eastAsia"/>
                <w:sz w:val="24"/>
                <w:szCs w:val="24"/>
              </w:rPr>
            </w:pPr>
            <w:r>
              <w:rPr>
                <w:rFonts w:cs="黑体-WinCharSetFFFF-H" w:hint="eastAsia"/>
                <w:b/>
                <w:bCs/>
                <w:sz w:val="24"/>
                <w:szCs w:val="24"/>
              </w:rPr>
              <w:t>答：</w:t>
            </w:r>
            <w:r>
              <w:rPr>
                <w:rFonts w:hint="eastAsia"/>
                <w:sz w:val="24"/>
              </w:rPr>
              <w:t>公司第十一届董事会第十五次会议审议通过了关于未来三年战略发展规划的议案，明确公司将初步构建以清洁电力、低碳产品与电算协同为核心的“三条曲线”业务矩阵，实现“三条曲线”相互支撑、协同发展。在电力市场化改革不断深化的背景下，公司积极布局创新业务领域，在持续做大做强清洁电力主业的同时，不断</w:t>
            </w:r>
            <w:proofErr w:type="gramStart"/>
            <w:r>
              <w:rPr>
                <w:rFonts w:hint="eastAsia"/>
                <w:sz w:val="24"/>
              </w:rPr>
              <w:t>探索绿电与</w:t>
            </w:r>
            <w:proofErr w:type="gramEnd"/>
            <w:r>
              <w:rPr>
                <w:rFonts w:hint="eastAsia"/>
                <w:sz w:val="24"/>
              </w:rPr>
              <w:t>高载能、高附加值产业的融合，全面提升公司的市场竞争力，逐步向绿色能源综合服务企业转型升级。</w:t>
            </w:r>
          </w:p>
          <w:p w14:paraId="5E8B735E" w14:textId="77777777" w:rsidR="00A92E3C" w:rsidRDefault="00000000">
            <w:pPr>
              <w:pStyle w:val="a5"/>
              <w:spacing w:before="14"/>
              <w:ind w:left="0"/>
              <w:contextualSpacing/>
              <w:jc w:val="both"/>
              <w:rPr>
                <w:rFonts w:cs="黑体-WinCharSetFFFF-H" w:hint="eastAsia"/>
                <w:b/>
                <w:bCs/>
                <w:sz w:val="24"/>
                <w:szCs w:val="24"/>
                <w:lang w:val="en-US"/>
              </w:rPr>
            </w:pPr>
            <w:r>
              <w:rPr>
                <w:rFonts w:cs="黑体-WinCharSetFFFF-H" w:hint="eastAsia"/>
                <w:b/>
                <w:bCs/>
                <w:sz w:val="24"/>
                <w:szCs w:val="24"/>
              </w:rPr>
              <w:t>问题三：</w:t>
            </w:r>
            <w:r>
              <w:rPr>
                <w:rFonts w:hint="eastAsia"/>
                <w:b/>
                <w:bCs/>
                <w:sz w:val="24"/>
              </w:rPr>
              <w:t>公司2025年业绩下滑原因以及应对措施？</w:t>
            </w:r>
          </w:p>
          <w:p w14:paraId="7E422CC2" w14:textId="77777777" w:rsidR="00A92E3C" w:rsidRDefault="00000000">
            <w:pPr>
              <w:pStyle w:val="a5"/>
              <w:spacing w:before="14"/>
              <w:ind w:left="0" w:firstLineChars="200" w:firstLine="482"/>
              <w:contextualSpacing/>
              <w:jc w:val="both"/>
              <w:rPr>
                <w:rFonts w:cs="黑体-WinCharSetFFFF-H" w:hint="eastAsia"/>
                <w:sz w:val="24"/>
                <w:szCs w:val="24"/>
              </w:rPr>
            </w:pPr>
            <w:r>
              <w:rPr>
                <w:rFonts w:cs="黑体-WinCharSetFFFF-H" w:hint="eastAsia"/>
                <w:b/>
                <w:bCs/>
                <w:sz w:val="24"/>
                <w:szCs w:val="24"/>
              </w:rPr>
              <w:t>答：</w:t>
            </w:r>
            <w:r>
              <w:rPr>
                <w:rFonts w:hint="eastAsia"/>
                <w:sz w:val="24"/>
              </w:rPr>
              <w:t>我国电力行业正面临市场化改革，短期内存在供需矛盾，消</w:t>
            </w:r>
            <w:proofErr w:type="gramStart"/>
            <w:r>
              <w:rPr>
                <w:rFonts w:hint="eastAsia"/>
                <w:sz w:val="24"/>
              </w:rPr>
              <w:t>纳压力</w:t>
            </w:r>
            <w:proofErr w:type="gramEnd"/>
            <w:r>
              <w:rPr>
                <w:rFonts w:hint="eastAsia"/>
                <w:sz w:val="24"/>
              </w:rPr>
              <w:t>凸显，在</w:t>
            </w:r>
            <w:proofErr w:type="gramStart"/>
            <w:r>
              <w:rPr>
                <w:rFonts w:hint="eastAsia"/>
                <w:sz w:val="24"/>
              </w:rPr>
              <w:t>限电率提升</w:t>
            </w:r>
            <w:proofErr w:type="gramEnd"/>
            <w:r>
              <w:rPr>
                <w:rFonts w:hint="eastAsia"/>
                <w:sz w:val="24"/>
              </w:rPr>
              <w:t>和电价下降的影响下，公司预计2025年业绩出现同比下滑，同时由于行业相关税收政策发生调整，公司遵循企业会计准则要求对相关长期资产计提减值准备，进一步减少了当期利润，业绩的具体情况以后续披露的定期报告为准。对此，公司积极探索，多</w:t>
            </w:r>
            <w:proofErr w:type="gramStart"/>
            <w:r>
              <w:rPr>
                <w:rFonts w:hint="eastAsia"/>
                <w:sz w:val="24"/>
              </w:rPr>
              <w:t>措</w:t>
            </w:r>
            <w:proofErr w:type="gramEnd"/>
            <w:r>
              <w:rPr>
                <w:rFonts w:hint="eastAsia"/>
                <w:sz w:val="24"/>
              </w:rPr>
              <w:t>并举保障业务稳健发展：一是大力开发优质风电项目，强化市场与政策前瞻研究，提高项目的收益水平；二是优化电力交易策略，开展科学</w:t>
            </w:r>
            <w:proofErr w:type="gramStart"/>
            <w:r>
              <w:rPr>
                <w:rFonts w:hint="eastAsia"/>
                <w:sz w:val="24"/>
              </w:rPr>
              <w:t>研</w:t>
            </w:r>
            <w:proofErr w:type="gramEnd"/>
            <w:r>
              <w:rPr>
                <w:rFonts w:hint="eastAsia"/>
                <w:sz w:val="24"/>
              </w:rPr>
              <w:t>判，有效降低电价波动风险；三是多元业务协同发力，把握低碳产品和电算协同战略机遇，培育新的利润增长点；四是推进数字化转型，深入挖潜降耗，通过精细化管理持续提升运营效率。</w:t>
            </w:r>
          </w:p>
          <w:p w14:paraId="50937D70" w14:textId="77777777" w:rsidR="00A92E3C" w:rsidRDefault="00000000">
            <w:pPr>
              <w:pStyle w:val="a5"/>
              <w:spacing w:before="14"/>
              <w:ind w:left="0"/>
              <w:contextualSpacing/>
              <w:jc w:val="both"/>
              <w:rPr>
                <w:rFonts w:cs="黑体-WinCharSetFFFF-H" w:hint="eastAsia"/>
                <w:b/>
                <w:bCs/>
                <w:sz w:val="24"/>
                <w:szCs w:val="24"/>
              </w:rPr>
            </w:pPr>
            <w:r>
              <w:rPr>
                <w:rFonts w:cs="黑体-WinCharSetFFFF-H" w:hint="eastAsia"/>
                <w:b/>
                <w:bCs/>
                <w:sz w:val="24"/>
                <w:szCs w:val="24"/>
              </w:rPr>
              <w:lastRenderedPageBreak/>
              <w:t>问题四：</w:t>
            </w:r>
            <w:r>
              <w:rPr>
                <w:rFonts w:hint="eastAsia"/>
                <w:b/>
                <w:bCs/>
                <w:sz w:val="24"/>
              </w:rPr>
              <w:t>公司是否有足够的资金满足业务扩张的资本支出？</w:t>
            </w:r>
          </w:p>
          <w:p w14:paraId="3ECE2511" w14:textId="77777777" w:rsidR="00A92E3C" w:rsidRDefault="00000000">
            <w:pPr>
              <w:pStyle w:val="a5"/>
              <w:spacing w:before="14"/>
              <w:ind w:left="0" w:firstLineChars="200" w:firstLine="482"/>
              <w:contextualSpacing/>
              <w:jc w:val="both"/>
              <w:rPr>
                <w:rFonts w:hint="eastAsia"/>
                <w:sz w:val="24"/>
              </w:rPr>
            </w:pPr>
            <w:r>
              <w:rPr>
                <w:rFonts w:cs="黑体-WinCharSetFFFF-H" w:hint="eastAsia"/>
                <w:b/>
                <w:bCs/>
                <w:sz w:val="24"/>
                <w:szCs w:val="24"/>
              </w:rPr>
              <w:t>答：</w:t>
            </w:r>
            <w:r>
              <w:rPr>
                <w:rFonts w:hint="eastAsia"/>
                <w:sz w:val="24"/>
              </w:rPr>
              <w:t>根据公司2025年第三季度报告，截至2025年9月底，公司持有货币资金4.62亿元，1-9月经营活动产生的现金流量净额19.75亿元。公司合理安排资金以满足日常经营和业务发展需要：一方面公司收到的可再生能源补贴资金会改善电站的现金流，助力公司电站的运营；另一方面公司合理运用各类金融工具，高效开展融资，自重组上市以来，公司已完成多次非公开发行股票，累计募集资金超40亿元，2025年公司完成三期绿色中期票据（碳中和债）的发行，累计募集资金14.5亿元，同时子公司成功引入战略投资者农银金融资产投资有限公司，增资扩股12亿元，有效增强了公司的资本实力。公司拥有优质的信用记录，与金融机构之间建立了稳定互信的合作关系，围绕业务发展需求，科学使用各类金融工具，持续畅通融资渠道、优化融资成本，不断提高资金的管理效率，助力公司高效运转。</w:t>
            </w:r>
          </w:p>
          <w:p w14:paraId="3BD28CC1" w14:textId="77777777" w:rsidR="00A92E3C" w:rsidRDefault="00000000">
            <w:pPr>
              <w:pStyle w:val="a5"/>
              <w:spacing w:before="14"/>
              <w:ind w:left="0"/>
              <w:contextualSpacing/>
              <w:jc w:val="both"/>
              <w:rPr>
                <w:rFonts w:cs="黑体-WinCharSetFFFF-H" w:hint="eastAsia"/>
                <w:b/>
                <w:bCs/>
                <w:sz w:val="24"/>
                <w:szCs w:val="24"/>
              </w:rPr>
            </w:pPr>
            <w:r>
              <w:rPr>
                <w:rFonts w:cs="黑体-WinCharSetFFFF-H" w:hint="eastAsia"/>
                <w:b/>
                <w:bCs/>
                <w:sz w:val="24"/>
                <w:szCs w:val="24"/>
              </w:rPr>
              <w:t>问题</w:t>
            </w:r>
            <w:r>
              <w:rPr>
                <w:rFonts w:cs="黑体-WinCharSetFFFF-H" w:hint="eastAsia"/>
                <w:b/>
                <w:bCs/>
                <w:sz w:val="24"/>
                <w:szCs w:val="24"/>
                <w:lang w:val="en-US"/>
              </w:rPr>
              <w:t>五</w:t>
            </w:r>
            <w:r>
              <w:rPr>
                <w:rFonts w:cs="黑体-WinCharSetFFFF-H" w:hint="eastAsia"/>
                <w:b/>
                <w:bCs/>
                <w:sz w:val="24"/>
                <w:szCs w:val="24"/>
              </w:rPr>
              <w:t>：</w:t>
            </w:r>
            <w:r>
              <w:rPr>
                <w:rFonts w:hint="eastAsia"/>
                <w:b/>
                <w:bCs/>
                <w:sz w:val="24"/>
              </w:rPr>
              <w:t>公司2025年新能源补贴情况如何？</w:t>
            </w:r>
          </w:p>
          <w:p w14:paraId="53CE6B53" w14:textId="0301085A" w:rsidR="00A92E3C" w:rsidRPr="00C51329" w:rsidRDefault="00000000" w:rsidP="00C51329">
            <w:pPr>
              <w:pStyle w:val="a5"/>
              <w:spacing w:before="14"/>
              <w:ind w:left="0" w:firstLineChars="200" w:firstLine="482"/>
              <w:contextualSpacing/>
              <w:jc w:val="both"/>
              <w:rPr>
                <w:rFonts w:cs="黑体-WinCharSetFFFF-H" w:hint="eastAsia"/>
                <w:b/>
                <w:bCs/>
                <w:sz w:val="24"/>
                <w:szCs w:val="24"/>
              </w:rPr>
            </w:pPr>
            <w:r>
              <w:rPr>
                <w:rFonts w:cs="黑体-WinCharSetFFFF-H" w:hint="eastAsia"/>
                <w:b/>
                <w:bCs/>
                <w:sz w:val="24"/>
                <w:szCs w:val="24"/>
              </w:rPr>
              <w:t>答：</w:t>
            </w:r>
            <w:r>
              <w:rPr>
                <w:rFonts w:hint="eastAsia"/>
                <w:sz w:val="24"/>
              </w:rPr>
              <w:t>2025年度，公司下属项目公司共收到可再生能源补贴资金15.77亿元，较去年同期增加147.40%，其中国家可再生能源补贴资金15.57亿元，较去年同期增加145.16%。可再生能源补贴资金已于电量销售时确认到对应年度的电费收入，回款对公司2025年度损益不会产生重大影响，具体以会计师年度审计确认后的结果为准。</w:t>
            </w:r>
          </w:p>
        </w:tc>
      </w:tr>
      <w:tr w:rsidR="00A92E3C" w14:paraId="03CE7560" w14:textId="77777777">
        <w:trPr>
          <w:trHeight w:val="361"/>
        </w:trPr>
        <w:tc>
          <w:tcPr>
            <w:tcW w:w="2518" w:type="dxa"/>
          </w:tcPr>
          <w:p w14:paraId="24B1BE8D" w14:textId="77777777" w:rsidR="00A92E3C" w:rsidRDefault="00000000">
            <w:pPr>
              <w:pStyle w:val="a5"/>
              <w:spacing w:before="14"/>
              <w:ind w:left="0"/>
              <w:contextualSpacing/>
              <w:jc w:val="both"/>
              <w:rPr>
                <w:rFonts w:cs="黑体-WinCharSetFFFF-H" w:hint="eastAsia"/>
                <w:sz w:val="24"/>
                <w:szCs w:val="24"/>
              </w:rPr>
            </w:pPr>
            <w:r>
              <w:rPr>
                <w:rFonts w:cs="黑体-WinCharSetFFFF-H" w:hint="eastAsia"/>
                <w:sz w:val="24"/>
                <w:szCs w:val="24"/>
              </w:rPr>
              <w:lastRenderedPageBreak/>
              <w:t>附件清单</w:t>
            </w:r>
          </w:p>
        </w:tc>
        <w:tc>
          <w:tcPr>
            <w:tcW w:w="6004" w:type="dxa"/>
          </w:tcPr>
          <w:p w14:paraId="61CCAB24" w14:textId="77777777" w:rsidR="00A92E3C" w:rsidRDefault="00000000">
            <w:pPr>
              <w:pStyle w:val="a5"/>
              <w:spacing w:before="14"/>
              <w:ind w:left="0"/>
              <w:contextualSpacing/>
              <w:jc w:val="center"/>
              <w:rPr>
                <w:rFonts w:cs="黑体-WinCharSetFFFF-H" w:hint="eastAsia"/>
                <w:sz w:val="24"/>
                <w:szCs w:val="24"/>
              </w:rPr>
            </w:pPr>
            <w:r>
              <w:rPr>
                <w:rFonts w:cs="黑体-WinCharSetFFFF-H" w:hint="eastAsia"/>
                <w:sz w:val="24"/>
                <w:szCs w:val="24"/>
              </w:rPr>
              <w:t>无</w:t>
            </w:r>
          </w:p>
        </w:tc>
      </w:tr>
    </w:tbl>
    <w:p w14:paraId="072DEE2A" w14:textId="0103307D" w:rsidR="00A92E3C" w:rsidRDefault="00000000">
      <w:pPr>
        <w:rPr>
          <w:rFonts w:hint="eastAsia"/>
          <w:sz w:val="24"/>
          <w:szCs w:val="24"/>
        </w:rPr>
      </w:pPr>
      <w:r>
        <w:rPr>
          <w:rFonts w:hint="eastAsia"/>
          <w:sz w:val="24"/>
          <w:szCs w:val="24"/>
        </w:rPr>
        <w:t>注：公司严格遵守信息披露相关规则与投资者进行交流，</w:t>
      </w:r>
      <w:r>
        <w:rPr>
          <w:sz w:val="24"/>
          <w:szCs w:val="24"/>
        </w:rPr>
        <w:t>如涉及战略划等意向性目标</w:t>
      </w:r>
      <w:r>
        <w:rPr>
          <w:rFonts w:hint="eastAsia"/>
          <w:sz w:val="24"/>
          <w:szCs w:val="24"/>
        </w:rPr>
        <w:t>，</w:t>
      </w:r>
      <w:proofErr w:type="gramStart"/>
      <w:r>
        <w:rPr>
          <w:sz w:val="24"/>
          <w:szCs w:val="24"/>
        </w:rPr>
        <w:t>不</w:t>
      </w:r>
      <w:proofErr w:type="gramEnd"/>
      <w:r>
        <w:rPr>
          <w:sz w:val="24"/>
          <w:szCs w:val="24"/>
        </w:rPr>
        <w:t>视为公司或管理</w:t>
      </w:r>
      <w:r>
        <w:rPr>
          <w:rFonts w:hint="eastAsia"/>
          <w:sz w:val="24"/>
          <w:szCs w:val="24"/>
        </w:rPr>
        <w:t>层对业绩的保证承诺，敬请广大投资者注意风险。</w:t>
      </w:r>
    </w:p>
    <w:sectPr w:rsidR="00A92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736A" w14:textId="77777777" w:rsidR="00FE7C3B" w:rsidRDefault="00FE7C3B" w:rsidP="00C51329">
      <w:pPr>
        <w:rPr>
          <w:rFonts w:hint="eastAsia"/>
        </w:rPr>
      </w:pPr>
      <w:r>
        <w:separator/>
      </w:r>
    </w:p>
  </w:endnote>
  <w:endnote w:type="continuationSeparator" w:id="0">
    <w:p w14:paraId="69436C4F" w14:textId="77777777" w:rsidR="00FE7C3B" w:rsidRDefault="00FE7C3B" w:rsidP="00C513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WinCharSetFFFF-H">
    <w:altName w:val="等线"/>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C65A" w14:textId="77777777" w:rsidR="00FE7C3B" w:rsidRDefault="00FE7C3B" w:rsidP="00C51329">
      <w:pPr>
        <w:rPr>
          <w:rFonts w:hint="eastAsia"/>
        </w:rPr>
      </w:pPr>
      <w:r>
        <w:separator/>
      </w:r>
    </w:p>
  </w:footnote>
  <w:footnote w:type="continuationSeparator" w:id="0">
    <w:p w14:paraId="1DD37D68" w14:textId="77777777" w:rsidR="00FE7C3B" w:rsidRDefault="00FE7C3B" w:rsidP="00C5132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0E9"/>
    <w:rsid w:val="000056AD"/>
    <w:rsid w:val="00011E19"/>
    <w:rsid w:val="00015272"/>
    <w:rsid w:val="00016014"/>
    <w:rsid w:val="000311E1"/>
    <w:rsid w:val="0003198A"/>
    <w:rsid w:val="000335AA"/>
    <w:rsid w:val="000337E4"/>
    <w:rsid w:val="00033845"/>
    <w:rsid w:val="00036AA8"/>
    <w:rsid w:val="000418D4"/>
    <w:rsid w:val="0004616A"/>
    <w:rsid w:val="00046745"/>
    <w:rsid w:val="00055D49"/>
    <w:rsid w:val="00057350"/>
    <w:rsid w:val="00066AEC"/>
    <w:rsid w:val="0007287B"/>
    <w:rsid w:val="00074283"/>
    <w:rsid w:val="00074B33"/>
    <w:rsid w:val="00075E59"/>
    <w:rsid w:val="00081834"/>
    <w:rsid w:val="00085A98"/>
    <w:rsid w:val="00086960"/>
    <w:rsid w:val="00087C30"/>
    <w:rsid w:val="000A364E"/>
    <w:rsid w:val="000B12DB"/>
    <w:rsid w:val="000B61AA"/>
    <w:rsid w:val="000C1919"/>
    <w:rsid w:val="000C194B"/>
    <w:rsid w:val="000E1662"/>
    <w:rsid w:val="000E4D85"/>
    <w:rsid w:val="000E5A7D"/>
    <w:rsid w:val="000E689C"/>
    <w:rsid w:val="000E7868"/>
    <w:rsid w:val="000E7DFD"/>
    <w:rsid w:val="000F44B5"/>
    <w:rsid w:val="0010009F"/>
    <w:rsid w:val="00100B26"/>
    <w:rsid w:val="00100FE0"/>
    <w:rsid w:val="0010599D"/>
    <w:rsid w:val="00107B0F"/>
    <w:rsid w:val="0011745D"/>
    <w:rsid w:val="0012017B"/>
    <w:rsid w:val="001216B8"/>
    <w:rsid w:val="00121C20"/>
    <w:rsid w:val="001277AD"/>
    <w:rsid w:val="00127F5E"/>
    <w:rsid w:val="00130E7B"/>
    <w:rsid w:val="001312A5"/>
    <w:rsid w:val="0013298C"/>
    <w:rsid w:val="001345F1"/>
    <w:rsid w:val="00134AEC"/>
    <w:rsid w:val="00142D6A"/>
    <w:rsid w:val="001431A5"/>
    <w:rsid w:val="00143D36"/>
    <w:rsid w:val="001445AA"/>
    <w:rsid w:val="001457EB"/>
    <w:rsid w:val="00145848"/>
    <w:rsid w:val="00157026"/>
    <w:rsid w:val="001614F3"/>
    <w:rsid w:val="001670C4"/>
    <w:rsid w:val="00175774"/>
    <w:rsid w:val="00182DCE"/>
    <w:rsid w:val="00183264"/>
    <w:rsid w:val="00183986"/>
    <w:rsid w:val="00183C6C"/>
    <w:rsid w:val="00185A89"/>
    <w:rsid w:val="001874C1"/>
    <w:rsid w:val="00195D11"/>
    <w:rsid w:val="001960C6"/>
    <w:rsid w:val="001A3C91"/>
    <w:rsid w:val="001B2156"/>
    <w:rsid w:val="001B6458"/>
    <w:rsid w:val="001B691D"/>
    <w:rsid w:val="001B6FB7"/>
    <w:rsid w:val="001B7B25"/>
    <w:rsid w:val="001C1173"/>
    <w:rsid w:val="001E0A52"/>
    <w:rsid w:val="001E1860"/>
    <w:rsid w:val="001E22D9"/>
    <w:rsid w:val="001F1C77"/>
    <w:rsid w:val="001F2D65"/>
    <w:rsid w:val="00202E1C"/>
    <w:rsid w:val="00204D62"/>
    <w:rsid w:val="00205DAE"/>
    <w:rsid w:val="00210ADF"/>
    <w:rsid w:val="00211C52"/>
    <w:rsid w:val="00215115"/>
    <w:rsid w:val="00216E60"/>
    <w:rsid w:val="0022263A"/>
    <w:rsid w:val="00230F85"/>
    <w:rsid w:val="00231475"/>
    <w:rsid w:val="0023237E"/>
    <w:rsid w:val="00233808"/>
    <w:rsid w:val="00236D99"/>
    <w:rsid w:val="002459B4"/>
    <w:rsid w:val="00245E3F"/>
    <w:rsid w:val="002507BF"/>
    <w:rsid w:val="00251EA1"/>
    <w:rsid w:val="002548A8"/>
    <w:rsid w:val="002554B1"/>
    <w:rsid w:val="002560F2"/>
    <w:rsid w:val="00260E59"/>
    <w:rsid w:val="00272CB6"/>
    <w:rsid w:val="0027580A"/>
    <w:rsid w:val="002803A2"/>
    <w:rsid w:val="00295456"/>
    <w:rsid w:val="002A225E"/>
    <w:rsid w:val="002A3D70"/>
    <w:rsid w:val="002B5E1A"/>
    <w:rsid w:val="002C0A6F"/>
    <w:rsid w:val="002C1A0C"/>
    <w:rsid w:val="002C3268"/>
    <w:rsid w:val="002C355A"/>
    <w:rsid w:val="002C6124"/>
    <w:rsid w:val="002D1FC8"/>
    <w:rsid w:val="002D7FF1"/>
    <w:rsid w:val="002E4E97"/>
    <w:rsid w:val="002F584A"/>
    <w:rsid w:val="00300FEB"/>
    <w:rsid w:val="003012AD"/>
    <w:rsid w:val="0030291B"/>
    <w:rsid w:val="00310DFA"/>
    <w:rsid w:val="00312BE9"/>
    <w:rsid w:val="003169CA"/>
    <w:rsid w:val="0032149B"/>
    <w:rsid w:val="00321A95"/>
    <w:rsid w:val="00322B1F"/>
    <w:rsid w:val="00324F58"/>
    <w:rsid w:val="0033555F"/>
    <w:rsid w:val="0034104C"/>
    <w:rsid w:val="003427B5"/>
    <w:rsid w:val="00352FC5"/>
    <w:rsid w:val="00353D88"/>
    <w:rsid w:val="00364518"/>
    <w:rsid w:val="00367400"/>
    <w:rsid w:val="0037512B"/>
    <w:rsid w:val="00391F09"/>
    <w:rsid w:val="00396B53"/>
    <w:rsid w:val="00397855"/>
    <w:rsid w:val="00397AC9"/>
    <w:rsid w:val="00397D65"/>
    <w:rsid w:val="003A297F"/>
    <w:rsid w:val="003A4BAB"/>
    <w:rsid w:val="003B7D5F"/>
    <w:rsid w:val="003D2162"/>
    <w:rsid w:val="003D2C03"/>
    <w:rsid w:val="003D395C"/>
    <w:rsid w:val="003E0083"/>
    <w:rsid w:val="003E2016"/>
    <w:rsid w:val="003E35DD"/>
    <w:rsid w:val="003F1ADC"/>
    <w:rsid w:val="00402231"/>
    <w:rsid w:val="004022B1"/>
    <w:rsid w:val="00405504"/>
    <w:rsid w:val="00412203"/>
    <w:rsid w:val="0041370A"/>
    <w:rsid w:val="00416401"/>
    <w:rsid w:val="004204BC"/>
    <w:rsid w:val="00423E11"/>
    <w:rsid w:val="0042589B"/>
    <w:rsid w:val="004262C2"/>
    <w:rsid w:val="0043586E"/>
    <w:rsid w:val="00436362"/>
    <w:rsid w:val="0043747B"/>
    <w:rsid w:val="004424A8"/>
    <w:rsid w:val="00450F82"/>
    <w:rsid w:val="0045123D"/>
    <w:rsid w:val="004636E6"/>
    <w:rsid w:val="00463C3F"/>
    <w:rsid w:val="00463FDA"/>
    <w:rsid w:val="00475F06"/>
    <w:rsid w:val="00481EC2"/>
    <w:rsid w:val="00485393"/>
    <w:rsid w:val="00485B64"/>
    <w:rsid w:val="004A0F4D"/>
    <w:rsid w:val="004B06F8"/>
    <w:rsid w:val="004B7DE7"/>
    <w:rsid w:val="004C1999"/>
    <w:rsid w:val="004C3B03"/>
    <w:rsid w:val="004C3B44"/>
    <w:rsid w:val="004C49D3"/>
    <w:rsid w:val="004C5EB6"/>
    <w:rsid w:val="004D26A2"/>
    <w:rsid w:val="004D3E8C"/>
    <w:rsid w:val="004D598C"/>
    <w:rsid w:val="004D794F"/>
    <w:rsid w:val="004E0531"/>
    <w:rsid w:val="004F1E1B"/>
    <w:rsid w:val="005003C3"/>
    <w:rsid w:val="00500759"/>
    <w:rsid w:val="00502175"/>
    <w:rsid w:val="005056B2"/>
    <w:rsid w:val="005143C7"/>
    <w:rsid w:val="00520ADE"/>
    <w:rsid w:val="00523B8B"/>
    <w:rsid w:val="00536B3A"/>
    <w:rsid w:val="00541C34"/>
    <w:rsid w:val="00543CFD"/>
    <w:rsid w:val="005573F3"/>
    <w:rsid w:val="00573DF9"/>
    <w:rsid w:val="0057521C"/>
    <w:rsid w:val="00580D95"/>
    <w:rsid w:val="005856A0"/>
    <w:rsid w:val="0058682A"/>
    <w:rsid w:val="00586F7A"/>
    <w:rsid w:val="00590524"/>
    <w:rsid w:val="00593C0C"/>
    <w:rsid w:val="0059697A"/>
    <w:rsid w:val="005B6253"/>
    <w:rsid w:val="005C5741"/>
    <w:rsid w:val="005D1BF1"/>
    <w:rsid w:val="005D46DD"/>
    <w:rsid w:val="005D4F56"/>
    <w:rsid w:val="005D796A"/>
    <w:rsid w:val="005E0C39"/>
    <w:rsid w:val="005E1BD6"/>
    <w:rsid w:val="005F21ED"/>
    <w:rsid w:val="005F5344"/>
    <w:rsid w:val="005F77B4"/>
    <w:rsid w:val="006028A3"/>
    <w:rsid w:val="00604DD4"/>
    <w:rsid w:val="00605C95"/>
    <w:rsid w:val="00606894"/>
    <w:rsid w:val="0061191B"/>
    <w:rsid w:val="00615F38"/>
    <w:rsid w:val="006222FB"/>
    <w:rsid w:val="00633D52"/>
    <w:rsid w:val="00650B3E"/>
    <w:rsid w:val="00653AE6"/>
    <w:rsid w:val="0065680D"/>
    <w:rsid w:val="00660CC4"/>
    <w:rsid w:val="00662EC2"/>
    <w:rsid w:val="00667A65"/>
    <w:rsid w:val="00676FCE"/>
    <w:rsid w:val="00677544"/>
    <w:rsid w:val="006800DF"/>
    <w:rsid w:val="00685267"/>
    <w:rsid w:val="006868E3"/>
    <w:rsid w:val="00687A28"/>
    <w:rsid w:val="006911BB"/>
    <w:rsid w:val="00691C7D"/>
    <w:rsid w:val="006A7606"/>
    <w:rsid w:val="006A7C35"/>
    <w:rsid w:val="006B044C"/>
    <w:rsid w:val="006B36AB"/>
    <w:rsid w:val="006E31E4"/>
    <w:rsid w:val="006E77EF"/>
    <w:rsid w:val="006F2241"/>
    <w:rsid w:val="00703430"/>
    <w:rsid w:val="00703641"/>
    <w:rsid w:val="007174B6"/>
    <w:rsid w:val="007233B3"/>
    <w:rsid w:val="00733453"/>
    <w:rsid w:val="00737903"/>
    <w:rsid w:val="00741100"/>
    <w:rsid w:val="00747037"/>
    <w:rsid w:val="00751819"/>
    <w:rsid w:val="00751DFB"/>
    <w:rsid w:val="00753046"/>
    <w:rsid w:val="00760CBE"/>
    <w:rsid w:val="00770D56"/>
    <w:rsid w:val="007717CC"/>
    <w:rsid w:val="0077338E"/>
    <w:rsid w:val="00782908"/>
    <w:rsid w:val="00782FE9"/>
    <w:rsid w:val="00785EDF"/>
    <w:rsid w:val="0079163D"/>
    <w:rsid w:val="00791BCB"/>
    <w:rsid w:val="00794E64"/>
    <w:rsid w:val="007B20E9"/>
    <w:rsid w:val="007C0452"/>
    <w:rsid w:val="007D6305"/>
    <w:rsid w:val="007E05E4"/>
    <w:rsid w:val="007E7621"/>
    <w:rsid w:val="007F3D03"/>
    <w:rsid w:val="007F6625"/>
    <w:rsid w:val="008020B6"/>
    <w:rsid w:val="00803E7F"/>
    <w:rsid w:val="008055E9"/>
    <w:rsid w:val="0081045D"/>
    <w:rsid w:val="008120BD"/>
    <w:rsid w:val="0081243B"/>
    <w:rsid w:val="0081252E"/>
    <w:rsid w:val="008126FE"/>
    <w:rsid w:val="008130D8"/>
    <w:rsid w:val="00817642"/>
    <w:rsid w:val="00820139"/>
    <w:rsid w:val="00822D15"/>
    <w:rsid w:val="00833539"/>
    <w:rsid w:val="008354BB"/>
    <w:rsid w:val="0084439B"/>
    <w:rsid w:val="00847149"/>
    <w:rsid w:val="008505A1"/>
    <w:rsid w:val="00852DC1"/>
    <w:rsid w:val="00853E89"/>
    <w:rsid w:val="008642A4"/>
    <w:rsid w:val="008744CA"/>
    <w:rsid w:val="00877FA6"/>
    <w:rsid w:val="0088378B"/>
    <w:rsid w:val="008877DC"/>
    <w:rsid w:val="00896027"/>
    <w:rsid w:val="008B1F57"/>
    <w:rsid w:val="008B272B"/>
    <w:rsid w:val="008C0715"/>
    <w:rsid w:val="008C213C"/>
    <w:rsid w:val="008C2155"/>
    <w:rsid w:val="008C5D39"/>
    <w:rsid w:val="008D6CB1"/>
    <w:rsid w:val="008E0EF3"/>
    <w:rsid w:val="008E24BB"/>
    <w:rsid w:val="009012B7"/>
    <w:rsid w:val="00901CA4"/>
    <w:rsid w:val="009048CA"/>
    <w:rsid w:val="00910B6C"/>
    <w:rsid w:val="00911B5A"/>
    <w:rsid w:val="00917085"/>
    <w:rsid w:val="009204A6"/>
    <w:rsid w:val="00925B42"/>
    <w:rsid w:val="00931414"/>
    <w:rsid w:val="009315F6"/>
    <w:rsid w:val="00931B3D"/>
    <w:rsid w:val="00931B44"/>
    <w:rsid w:val="0093729D"/>
    <w:rsid w:val="00937324"/>
    <w:rsid w:val="00941A72"/>
    <w:rsid w:val="00944926"/>
    <w:rsid w:val="00945733"/>
    <w:rsid w:val="00945B6F"/>
    <w:rsid w:val="00947073"/>
    <w:rsid w:val="0094721C"/>
    <w:rsid w:val="00950355"/>
    <w:rsid w:val="00954466"/>
    <w:rsid w:val="00954FF3"/>
    <w:rsid w:val="009634E4"/>
    <w:rsid w:val="0096677A"/>
    <w:rsid w:val="009725E6"/>
    <w:rsid w:val="009846CC"/>
    <w:rsid w:val="0098711C"/>
    <w:rsid w:val="00996517"/>
    <w:rsid w:val="009C3654"/>
    <w:rsid w:val="009C4188"/>
    <w:rsid w:val="009C7995"/>
    <w:rsid w:val="009D04F0"/>
    <w:rsid w:val="009D4567"/>
    <w:rsid w:val="009D66F7"/>
    <w:rsid w:val="009D6740"/>
    <w:rsid w:val="009E360C"/>
    <w:rsid w:val="009F7BA1"/>
    <w:rsid w:val="00A247DA"/>
    <w:rsid w:val="00A2619E"/>
    <w:rsid w:val="00A33E64"/>
    <w:rsid w:val="00A4688A"/>
    <w:rsid w:val="00A6781B"/>
    <w:rsid w:val="00A708FA"/>
    <w:rsid w:val="00A81E20"/>
    <w:rsid w:val="00A81E43"/>
    <w:rsid w:val="00A82FA1"/>
    <w:rsid w:val="00A85122"/>
    <w:rsid w:val="00A8533E"/>
    <w:rsid w:val="00A874E8"/>
    <w:rsid w:val="00A903A5"/>
    <w:rsid w:val="00A92403"/>
    <w:rsid w:val="00A92E3C"/>
    <w:rsid w:val="00AA3E81"/>
    <w:rsid w:val="00AA3F73"/>
    <w:rsid w:val="00AA722A"/>
    <w:rsid w:val="00AB2498"/>
    <w:rsid w:val="00AB26D3"/>
    <w:rsid w:val="00AB3B4E"/>
    <w:rsid w:val="00AB4028"/>
    <w:rsid w:val="00AC0934"/>
    <w:rsid w:val="00AC598A"/>
    <w:rsid w:val="00AC744E"/>
    <w:rsid w:val="00AE2E6D"/>
    <w:rsid w:val="00AE5C1C"/>
    <w:rsid w:val="00AF3833"/>
    <w:rsid w:val="00AF7DDC"/>
    <w:rsid w:val="00B027D6"/>
    <w:rsid w:val="00B1309B"/>
    <w:rsid w:val="00B4003E"/>
    <w:rsid w:val="00B457FA"/>
    <w:rsid w:val="00B51169"/>
    <w:rsid w:val="00B52C7A"/>
    <w:rsid w:val="00B576D7"/>
    <w:rsid w:val="00B61D4C"/>
    <w:rsid w:val="00B6544D"/>
    <w:rsid w:val="00B67142"/>
    <w:rsid w:val="00B72853"/>
    <w:rsid w:val="00B73E19"/>
    <w:rsid w:val="00B7644A"/>
    <w:rsid w:val="00B80816"/>
    <w:rsid w:val="00B87B92"/>
    <w:rsid w:val="00B96481"/>
    <w:rsid w:val="00B965CB"/>
    <w:rsid w:val="00B97E14"/>
    <w:rsid w:val="00BA390E"/>
    <w:rsid w:val="00BA4B85"/>
    <w:rsid w:val="00BB1C57"/>
    <w:rsid w:val="00BB30B4"/>
    <w:rsid w:val="00BD747A"/>
    <w:rsid w:val="00BE2507"/>
    <w:rsid w:val="00BF32A1"/>
    <w:rsid w:val="00BF4EFA"/>
    <w:rsid w:val="00BF6F9C"/>
    <w:rsid w:val="00C009A9"/>
    <w:rsid w:val="00C00DAD"/>
    <w:rsid w:val="00C00F77"/>
    <w:rsid w:val="00C02914"/>
    <w:rsid w:val="00C06E6B"/>
    <w:rsid w:val="00C1530E"/>
    <w:rsid w:val="00C158CF"/>
    <w:rsid w:val="00C17A07"/>
    <w:rsid w:val="00C237CC"/>
    <w:rsid w:val="00C30134"/>
    <w:rsid w:val="00C32C40"/>
    <w:rsid w:val="00C42F8D"/>
    <w:rsid w:val="00C51329"/>
    <w:rsid w:val="00C53152"/>
    <w:rsid w:val="00C610B8"/>
    <w:rsid w:val="00C61E80"/>
    <w:rsid w:val="00C72105"/>
    <w:rsid w:val="00C72DD5"/>
    <w:rsid w:val="00C739B1"/>
    <w:rsid w:val="00C76AB6"/>
    <w:rsid w:val="00C811E7"/>
    <w:rsid w:val="00C82CCB"/>
    <w:rsid w:val="00C86FEE"/>
    <w:rsid w:val="00C94BD2"/>
    <w:rsid w:val="00CA6B41"/>
    <w:rsid w:val="00CB167E"/>
    <w:rsid w:val="00CB193B"/>
    <w:rsid w:val="00CB3F8B"/>
    <w:rsid w:val="00CB41F2"/>
    <w:rsid w:val="00CB6F2D"/>
    <w:rsid w:val="00CC14C6"/>
    <w:rsid w:val="00CC2398"/>
    <w:rsid w:val="00CC3A1E"/>
    <w:rsid w:val="00CC46CA"/>
    <w:rsid w:val="00CC6CB8"/>
    <w:rsid w:val="00CE4C2D"/>
    <w:rsid w:val="00CE6E26"/>
    <w:rsid w:val="00CF0E2E"/>
    <w:rsid w:val="00CF530D"/>
    <w:rsid w:val="00CF54F3"/>
    <w:rsid w:val="00CF5A8B"/>
    <w:rsid w:val="00D00B1D"/>
    <w:rsid w:val="00D02C06"/>
    <w:rsid w:val="00D02DD3"/>
    <w:rsid w:val="00D145BE"/>
    <w:rsid w:val="00D1640F"/>
    <w:rsid w:val="00D32BB1"/>
    <w:rsid w:val="00D350D4"/>
    <w:rsid w:val="00D452D4"/>
    <w:rsid w:val="00D4659C"/>
    <w:rsid w:val="00D47F44"/>
    <w:rsid w:val="00D5598F"/>
    <w:rsid w:val="00D63E4D"/>
    <w:rsid w:val="00D76031"/>
    <w:rsid w:val="00D76AE3"/>
    <w:rsid w:val="00D81D27"/>
    <w:rsid w:val="00D93990"/>
    <w:rsid w:val="00D953D3"/>
    <w:rsid w:val="00D97E5A"/>
    <w:rsid w:val="00DA7779"/>
    <w:rsid w:val="00DA78B9"/>
    <w:rsid w:val="00DC0837"/>
    <w:rsid w:val="00DC08E4"/>
    <w:rsid w:val="00DC0CB3"/>
    <w:rsid w:val="00DC277E"/>
    <w:rsid w:val="00DC2DA8"/>
    <w:rsid w:val="00DC512F"/>
    <w:rsid w:val="00DC61F2"/>
    <w:rsid w:val="00DC62D0"/>
    <w:rsid w:val="00DC7408"/>
    <w:rsid w:val="00DD5133"/>
    <w:rsid w:val="00DD75FB"/>
    <w:rsid w:val="00DF3A3A"/>
    <w:rsid w:val="00DF3AAD"/>
    <w:rsid w:val="00DF4B0C"/>
    <w:rsid w:val="00DF4C2A"/>
    <w:rsid w:val="00E0523A"/>
    <w:rsid w:val="00E058CB"/>
    <w:rsid w:val="00E1791D"/>
    <w:rsid w:val="00E24574"/>
    <w:rsid w:val="00E25871"/>
    <w:rsid w:val="00E260C4"/>
    <w:rsid w:val="00E310B9"/>
    <w:rsid w:val="00E359CD"/>
    <w:rsid w:val="00E3683F"/>
    <w:rsid w:val="00E50130"/>
    <w:rsid w:val="00E50529"/>
    <w:rsid w:val="00E51686"/>
    <w:rsid w:val="00E54DD8"/>
    <w:rsid w:val="00E55CB7"/>
    <w:rsid w:val="00E6306D"/>
    <w:rsid w:val="00E644C0"/>
    <w:rsid w:val="00E702DE"/>
    <w:rsid w:val="00E71EDC"/>
    <w:rsid w:val="00E83F6F"/>
    <w:rsid w:val="00E86A77"/>
    <w:rsid w:val="00E86C15"/>
    <w:rsid w:val="00E95131"/>
    <w:rsid w:val="00E967CD"/>
    <w:rsid w:val="00EA5A5D"/>
    <w:rsid w:val="00EA6DA4"/>
    <w:rsid w:val="00EB0030"/>
    <w:rsid w:val="00EB429A"/>
    <w:rsid w:val="00ED56CF"/>
    <w:rsid w:val="00EE0C09"/>
    <w:rsid w:val="00EE1D81"/>
    <w:rsid w:val="00EE557F"/>
    <w:rsid w:val="00EF304A"/>
    <w:rsid w:val="00EF71CA"/>
    <w:rsid w:val="00F0091F"/>
    <w:rsid w:val="00F17113"/>
    <w:rsid w:val="00F179C9"/>
    <w:rsid w:val="00F22946"/>
    <w:rsid w:val="00F257F0"/>
    <w:rsid w:val="00F3470F"/>
    <w:rsid w:val="00F41561"/>
    <w:rsid w:val="00F52CAE"/>
    <w:rsid w:val="00F561C3"/>
    <w:rsid w:val="00F56AAF"/>
    <w:rsid w:val="00F605E1"/>
    <w:rsid w:val="00F66976"/>
    <w:rsid w:val="00F71727"/>
    <w:rsid w:val="00F737C1"/>
    <w:rsid w:val="00F76C18"/>
    <w:rsid w:val="00F83E3E"/>
    <w:rsid w:val="00F92504"/>
    <w:rsid w:val="00F9293D"/>
    <w:rsid w:val="00F94392"/>
    <w:rsid w:val="00FA0359"/>
    <w:rsid w:val="00FA170E"/>
    <w:rsid w:val="00FA4E59"/>
    <w:rsid w:val="00FA7174"/>
    <w:rsid w:val="00FB5B2C"/>
    <w:rsid w:val="00FB6985"/>
    <w:rsid w:val="00FC4D5D"/>
    <w:rsid w:val="00FD200B"/>
    <w:rsid w:val="00FD3EEC"/>
    <w:rsid w:val="00FE538A"/>
    <w:rsid w:val="00FE7C3B"/>
    <w:rsid w:val="00FF0CFE"/>
    <w:rsid w:val="00FF304F"/>
    <w:rsid w:val="47342061"/>
    <w:rsid w:val="7C1E76F4"/>
    <w:rsid w:val="7EEF4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A8F9"/>
  <w15:docId w15:val="{BD2B573F-7AC2-46F8-8FED-588308DD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autoSpaceDE/>
      <w:autoSpaceDN/>
    </w:pPr>
    <w:rPr>
      <w:rFonts w:ascii="Calibri" w:hAnsi="Calibri" w:cs="Times New Roman"/>
      <w:kern w:val="2"/>
      <w:sz w:val="21"/>
      <w:lang w:val="en-US" w:bidi="ar-SA"/>
    </w:rPr>
  </w:style>
  <w:style w:type="paragraph" w:styleId="a5">
    <w:name w:val="Body Text"/>
    <w:basedOn w:val="a"/>
    <w:link w:val="a6"/>
    <w:uiPriority w:val="1"/>
    <w:qFormat/>
    <w:pPr>
      <w:ind w:left="1140"/>
    </w:pPr>
    <w:rPr>
      <w:sz w:val="30"/>
      <w:szCs w:val="3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pPr>
      <w:autoSpaceDE w:val="0"/>
      <w:autoSpaceDN w:val="0"/>
    </w:pPr>
    <w:rPr>
      <w:rFonts w:ascii="宋体" w:hAnsi="宋体" w:cs="宋体"/>
      <w:b/>
      <w:bCs/>
      <w:kern w:val="0"/>
      <w:sz w:val="22"/>
      <w:lang w:val="zh-CN" w:bidi="zh-CN"/>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1"/>
    <w:qFormat/>
    <w:rPr>
      <w:rFonts w:ascii="宋体" w:eastAsia="宋体" w:hAnsi="宋体" w:cs="宋体"/>
      <w:kern w:val="0"/>
      <w:sz w:val="30"/>
      <w:szCs w:val="30"/>
      <w:lang w:val="zh-CN" w:bidi="zh-CN"/>
    </w:rPr>
  </w:style>
  <w:style w:type="paragraph" w:styleId="af2">
    <w:name w:val="List Paragraph"/>
    <w:basedOn w:val="a"/>
    <w:uiPriority w:val="34"/>
    <w:qFormat/>
    <w:pPr>
      <w:autoSpaceDE/>
      <w:autoSpaceDN/>
      <w:ind w:firstLineChars="200" w:firstLine="420"/>
      <w:jc w:val="both"/>
    </w:pPr>
    <w:rPr>
      <w:rFonts w:ascii="Calibri" w:hAnsi="Calibri" w:cs="Times New Roman"/>
      <w:kern w:val="2"/>
      <w:sz w:val="21"/>
      <w:lang w:val="en-US" w:bidi="ar-SA"/>
    </w:rPr>
  </w:style>
  <w:style w:type="character" w:customStyle="1" w:styleId="a4">
    <w:name w:val="批注文字 字符"/>
    <w:basedOn w:val="a0"/>
    <w:link w:val="a3"/>
    <w:uiPriority w:val="99"/>
    <w:qFormat/>
    <w:rPr>
      <w:rFonts w:ascii="Calibri" w:eastAsia="宋体" w:hAnsi="Calibri" w:cs="Times New Roman"/>
    </w:rPr>
  </w:style>
  <w:style w:type="character" w:customStyle="1" w:styleId="a8">
    <w:name w:val="批注框文本 字符"/>
    <w:basedOn w:val="a0"/>
    <w:link w:val="a7"/>
    <w:uiPriority w:val="99"/>
    <w:semiHidden/>
    <w:qFormat/>
    <w:rPr>
      <w:rFonts w:ascii="宋体" w:eastAsia="宋体" w:hAnsi="宋体" w:cs="宋体"/>
      <w:kern w:val="0"/>
      <w:sz w:val="18"/>
      <w:szCs w:val="18"/>
      <w:lang w:val="zh-CN" w:bidi="zh-CN"/>
    </w:rPr>
  </w:style>
  <w:style w:type="character" w:customStyle="1" w:styleId="ae">
    <w:name w:val="批注主题 字符"/>
    <w:basedOn w:val="a4"/>
    <w:link w:val="ad"/>
    <w:uiPriority w:val="99"/>
    <w:semiHidden/>
    <w:qFormat/>
    <w:rPr>
      <w:rFonts w:ascii="宋体" w:eastAsia="宋体" w:hAnsi="宋体" w:cs="宋体"/>
      <w:b/>
      <w:bCs/>
      <w:kern w:val="0"/>
      <w:sz w:val="22"/>
      <w:lang w:val="zh-CN" w:bidi="zh-CN"/>
    </w:rPr>
  </w:style>
  <w:style w:type="character" w:customStyle="1" w:styleId="markedcontent">
    <w:name w:val="markedcontent"/>
    <w:basedOn w:val="a0"/>
    <w:qFormat/>
  </w:style>
  <w:style w:type="paragraph" w:customStyle="1" w:styleId="1">
    <w:name w:val="修订1"/>
    <w:hidden/>
    <w:uiPriority w:val="99"/>
    <w:semiHidden/>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FW</dc:creator>
  <cp:lastModifiedBy>任航</cp:lastModifiedBy>
  <cp:revision>231</cp:revision>
  <cp:lastPrinted>2023-06-30T10:42:00Z</cp:lastPrinted>
  <dcterms:created xsi:type="dcterms:W3CDTF">2022-06-08T08:48:00Z</dcterms:created>
  <dcterms:modified xsi:type="dcterms:W3CDTF">2026-03-30T10:54:00Z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eyJoZGlkIjoiNTNiYTA0OWY0N2NkMTFjM2I1Y2RjODJhZmYwMWMzMDQiLCJ1c2VySWQiOiIyNDQwNDc4MjcifQ==</vt:lpwstr>
  </property>
  <property fmtid="{D5CDD505-2E9C-101B-9397-08002B2CF9AE}" pid="3" name="KSOProductBuildVer">
    <vt:lpwstr>2052-12.1.0.25225</vt:lpwstr>
  </property>
  <property fmtid="{D5CDD505-2E9C-101B-9397-08002B2CF9AE}" pid="4" name="ICV">
    <vt:lpwstr>6D060D1DB78E45B497364FAD9E4B36A7_13</vt:lpwstr>
  </property>
</Properties>
</file>