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AEFC9" w14:textId="255B4882" w:rsidR="005A0559" w:rsidRDefault="00650708" w:rsidP="005A0559">
      <w:pPr>
        <w:pStyle w:val="a3"/>
        <w:spacing w:line="520" w:lineRule="exact"/>
        <w:jc w:val="center"/>
        <w:rPr>
          <w:rFonts w:hAnsi="宋体" w:cs="宋体"/>
          <w:b/>
          <w:sz w:val="36"/>
          <w:szCs w:val="24"/>
        </w:rPr>
      </w:pPr>
      <w:r>
        <w:rPr>
          <w:rFonts w:hAnsi="宋体" w:cs="宋体" w:hint="eastAsia"/>
          <w:b/>
          <w:sz w:val="36"/>
          <w:szCs w:val="24"/>
        </w:rPr>
        <w:t>兖矿能源集团</w:t>
      </w:r>
      <w:r w:rsidR="005A0559">
        <w:rPr>
          <w:rFonts w:hAnsi="宋体" w:cs="宋体" w:hint="eastAsia"/>
          <w:b/>
          <w:sz w:val="36"/>
          <w:szCs w:val="24"/>
        </w:rPr>
        <w:t>股份有限公司</w:t>
      </w:r>
    </w:p>
    <w:p w14:paraId="1B4DB1C9" w14:textId="2102F0AF" w:rsidR="005A0559" w:rsidRDefault="00822C7A" w:rsidP="005A0559">
      <w:pPr>
        <w:pStyle w:val="a3"/>
        <w:spacing w:line="520" w:lineRule="exact"/>
        <w:jc w:val="center"/>
        <w:rPr>
          <w:rFonts w:hAnsi="宋体" w:cs="宋体"/>
          <w:b/>
          <w:sz w:val="36"/>
          <w:szCs w:val="24"/>
        </w:rPr>
      </w:pPr>
      <w:r>
        <w:rPr>
          <w:rFonts w:hAnsi="宋体" w:cs="宋体" w:hint="eastAsia"/>
          <w:b/>
          <w:sz w:val="36"/>
          <w:szCs w:val="24"/>
        </w:rPr>
        <w:t>2025年</w:t>
      </w:r>
      <w:r w:rsidR="00650708">
        <w:rPr>
          <w:rFonts w:hAnsi="宋体" w:cs="宋体" w:hint="eastAsia"/>
          <w:b/>
          <w:sz w:val="36"/>
          <w:szCs w:val="24"/>
        </w:rPr>
        <w:t>度</w:t>
      </w:r>
      <w:r w:rsidR="005A0559" w:rsidRPr="005A0559">
        <w:rPr>
          <w:rFonts w:hAnsi="宋体" w:cs="宋体"/>
          <w:b/>
          <w:sz w:val="36"/>
          <w:szCs w:val="24"/>
        </w:rPr>
        <w:t>业绩说明会</w:t>
      </w:r>
      <w:r w:rsidR="005A0559">
        <w:rPr>
          <w:rFonts w:hAnsi="宋体" w:cs="宋体" w:hint="eastAsia"/>
          <w:b/>
          <w:sz w:val="36"/>
          <w:szCs w:val="24"/>
        </w:rPr>
        <w:t>会</w:t>
      </w:r>
      <w:r w:rsidR="005A0559" w:rsidRPr="005B5BC7">
        <w:rPr>
          <w:rFonts w:hAnsi="宋体" w:cs="宋体" w:hint="eastAsia"/>
          <w:b/>
          <w:sz w:val="36"/>
          <w:szCs w:val="24"/>
        </w:rPr>
        <w:t>议</w:t>
      </w:r>
      <w:r w:rsidR="005A0559" w:rsidRPr="005B5BC7">
        <w:rPr>
          <w:rFonts w:hAnsi="宋体" w:cs="宋体"/>
          <w:b/>
          <w:sz w:val="36"/>
          <w:szCs w:val="24"/>
        </w:rPr>
        <w:t>纪要</w:t>
      </w:r>
    </w:p>
    <w:p w14:paraId="75BC6245" w14:textId="263E8F30" w:rsidR="00120966" w:rsidRPr="000747EE" w:rsidRDefault="00120966" w:rsidP="000747EE">
      <w:pPr>
        <w:pStyle w:val="a3"/>
        <w:spacing w:line="520" w:lineRule="exact"/>
        <w:ind w:firstLineChars="200" w:firstLine="600"/>
        <w:rPr>
          <w:rFonts w:hAnsi="宋体"/>
          <w:sz w:val="30"/>
          <w:szCs w:val="30"/>
        </w:rPr>
      </w:pPr>
    </w:p>
    <w:p w14:paraId="51AF2F6B" w14:textId="3EE02881" w:rsidR="0076723F" w:rsidRPr="00A875EE" w:rsidRDefault="00822C7A" w:rsidP="0028003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2026年</w:t>
      </w:r>
      <w:r w:rsidR="0089660A" w:rsidRPr="00A875EE">
        <w:rPr>
          <w:rFonts w:ascii="宋体" w:eastAsia="宋体" w:hAnsi="宋体"/>
          <w:sz w:val="32"/>
          <w:szCs w:val="32"/>
        </w:rPr>
        <w:t>3</w:t>
      </w:r>
      <w:r w:rsidR="0076723F" w:rsidRPr="00A875EE">
        <w:rPr>
          <w:rFonts w:ascii="宋体" w:eastAsia="宋体" w:hAnsi="宋体" w:hint="eastAsia"/>
          <w:sz w:val="32"/>
          <w:szCs w:val="32"/>
        </w:rPr>
        <w:t>月</w:t>
      </w:r>
      <w:r w:rsidR="0089660A" w:rsidRPr="00A875EE">
        <w:rPr>
          <w:rFonts w:ascii="宋体" w:eastAsia="宋体" w:hAnsi="宋体"/>
          <w:sz w:val="32"/>
          <w:szCs w:val="32"/>
        </w:rPr>
        <w:t>3</w:t>
      </w:r>
      <w:r w:rsidRPr="00A875EE">
        <w:rPr>
          <w:rFonts w:ascii="宋体" w:eastAsia="宋体" w:hAnsi="宋体"/>
          <w:sz w:val="32"/>
          <w:szCs w:val="32"/>
        </w:rPr>
        <w:t>0</w:t>
      </w:r>
      <w:r w:rsidR="0076723F" w:rsidRPr="00A875EE">
        <w:rPr>
          <w:rFonts w:ascii="宋体" w:eastAsia="宋体" w:hAnsi="宋体" w:hint="eastAsia"/>
          <w:sz w:val="32"/>
          <w:szCs w:val="32"/>
        </w:rPr>
        <w:t>日，</w:t>
      </w:r>
      <w:r w:rsidR="00650708" w:rsidRPr="00A875EE">
        <w:rPr>
          <w:rFonts w:ascii="宋体" w:eastAsia="宋体" w:hAnsi="宋体" w:hint="eastAsia"/>
          <w:sz w:val="32"/>
          <w:szCs w:val="32"/>
        </w:rPr>
        <w:t>兖矿能源集团</w:t>
      </w:r>
      <w:r w:rsidR="0076723F" w:rsidRPr="00A875EE">
        <w:rPr>
          <w:rFonts w:ascii="宋体" w:eastAsia="宋体" w:hAnsi="宋体" w:hint="eastAsia"/>
          <w:sz w:val="32"/>
          <w:szCs w:val="32"/>
        </w:rPr>
        <w:t>股份有限公司（“</w:t>
      </w:r>
      <w:r w:rsidR="00650708" w:rsidRPr="00A875EE">
        <w:rPr>
          <w:rFonts w:ascii="宋体" w:eastAsia="宋体" w:hAnsi="宋体" w:hint="eastAsia"/>
          <w:sz w:val="32"/>
          <w:szCs w:val="32"/>
        </w:rPr>
        <w:t>兖矿能源</w:t>
      </w:r>
      <w:r w:rsidR="0076723F" w:rsidRPr="00A875EE">
        <w:rPr>
          <w:rFonts w:ascii="宋体" w:eastAsia="宋体" w:hAnsi="宋体" w:hint="eastAsia"/>
          <w:sz w:val="32"/>
          <w:szCs w:val="32"/>
        </w:rPr>
        <w:t>”或“公司”）以</w:t>
      </w:r>
      <w:r w:rsidR="00062DEF" w:rsidRPr="00A875EE">
        <w:rPr>
          <w:rFonts w:ascii="宋体" w:eastAsia="宋体" w:hAnsi="宋体" w:hint="eastAsia"/>
          <w:sz w:val="32"/>
          <w:szCs w:val="32"/>
        </w:rPr>
        <w:t>现场、</w:t>
      </w:r>
      <w:r w:rsidR="0076723F" w:rsidRPr="00A875EE">
        <w:rPr>
          <w:rFonts w:ascii="宋体" w:eastAsia="宋体" w:hAnsi="宋体" w:hint="eastAsia"/>
          <w:sz w:val="32"/>
          <w:szCs w:val="32"/>
        </w:rPr>
        <w:t>电话</w:t>
      </w:r>
      <w:r w:rsidR="009D6D0A" w:rsidRPr="00A875EE">
        <w:rPr>
          <w:rFonts w:ascii="宋体" w:eastAsia="宋体" w:hAnsi="宋体" w:hint="eastAsia"/>
          <w:sz w:val="32"/>
          <w:szCs w:val="32"/>
        </w:rPr>
        <w:t>及网络会议</w:t>
      </w:r>
      <w:r w:rsidR="0076723F" w:rsidRPr="00A875EE">
        <w:rPr>
          <w:rFonts w:ascii="宋体" w:eastAsia="宋体" w:hAnsi="宋体" w:hint="eastAsia"/>
          <w:sz w:val="32"/>
          <w:szCs w:val="32"/>
        </w:rPr>
        <w:t>的方式召开</w:t>
      </w:r>
      <w:r w:rsidRPr="00A875EE">
        <w:rPr>
          <w:rFonts w:ascii="宋体" w:eastAsia="宋体" w:hAnsi="宋体"/>
          <w:sz w:val="32"/>
          <w:szCs w:val="32"/>
        </w:rPr>
        <w:t>2025年</w:t>
      </w:r>
      <w:r w:rsidR="00613F28" w:rsidRPr="00A875EE">
        <w:rPr>
          <w:rFonts w:ascii="宋体" w:eastAsia="宋体" w:hAnsi="宋体" w:hint="eastAsia"/>
          <w:sz w:val="32"/>
          <w:szCs w:val="32"/>
        </w:rPr>
        <w:t>度</w:t>
      </w:r>
      <w:r w:rsidR="0076723F" w:rsidRPr="00A875EE">
        <w:rPr>
          <w:rFonts w:ascii="宋体" w:eastAsia="宋体" w:hAnsi="宋体" w:hint="eastAsia"/>
          <w:sz w:val="32"/>
          <w:szCs w:val="32"/>
        </w:rPr>
        <w:t>业绩说明会。</w:t>
      </w:r>
      <w:r w:rsidR="00364396" w:rsidRPr="00A875EE">
        <w:rPr>
          <w:rFonts w:ascii="宋体" w:eastAsia="宋体" w:hAnsi="宋体" w:hint="eastAsia"/>
          <w:sz w:val="32"/>
          <w:szCs w:val="32"/>
        </w:rPr>
        <w:t>公司董事长李伟先生，</w:t>
      </w:r>
      <w:r w:rsidR="0028003F" w:rsidRPr="00A875EE">
        <w:rPr>
          <w:rFonts w:ascii="宋体" w:eastAsia="宋体" w:hAnsi="宋体" w:hint="eastAsia"/>
          <w:sz w:val="32"/>
          <w:szCs w:val="32"/>
        </w:rPr>
        <w:t>党委书记</w:t>
      </w:r>
      <w:r w:rsidR="00062DEF" w:rsidRPr="00A875EE">
        <w:rPr>
          <w:rFonts w:ascii="宋体" w:eastAsia="宋体" w:hAnsi="宋体" w:hint="eastAsia"/>
          <w:sz w:val="32"/>
          <w:szCs w:val="32"/>
        </w:rPr>
        <w:t>、</w:t>
      </w:r>
      <w:r w:rsidR="000B4E67" w:rsidRPr="00A875EE">
        <w:rPr>
          <w:rFonts w:ascii="宋体" w:eastAsia="宋体" w:hAnsi="宋体" w:hint="eastAsia"/>
          <w:sz w:val="32"/>
          <w:szCs w:val="32"/>
        </w:rPr>
        <w:t>董事、</w:t>
      </w:r>
      <w:r w:rsidR="00062DEF" w:rsidRPr="00A875EE">
        <w:rPr>
          <w:rFonts w:ascii="宋体" w:eastAsia="宋体" w:hAnsi="宋体" w:hint="eastAsia"/>
          <w:sz w:val="32"/>
          <w:szCs w:val="32"/>
        </w:rPr>
        <w:t>总经理</w:t>
      </w:r>
      <w:r w:rsidR="0028003F" w:rsidRPr="00A875EE">
        <w:rPr>
          <w:rFonts w:ascii="宋体" w:eastAsia="宋体" w:hAnsi="宋体" w:hint="eastAsia"/>
          <w:sz w:val="32"/>
          <w:szCs w:val="32"/>
        </w:rPr>
        <w:t>王九红</w:t>
      </w:r>
      <w:r w:rsidR="00062DEF" w:rsidRPr="00A875EE">
        <w:rPr>
          <w:rFonts w:ascii="宋体" w:eastAsia="宋体" w:hAnsi="宋体" w:hint="eastAsia"/>
          <w:sz w:val="32"/>
          <w:szCs w:val="32"/>
        </w:rPr>
        <w:t>先生，</w:t>
      </w:r>
      <w:r w:rsidR="003A401D" w:rsidRPr="00A875EE">
        <w:rPr>
          <w:rFonts w:ascii="宋体" w:eastAsia="宋体" w:hAnsi="宋体" w:hint="eastAsia"/>
          <w:sz w:val="32"/>
          <w:szCs w:val="32"/>
        </w:rPr>
        <w:t>独立董事</w:t>
      </w:r>
      <w:r w:rsidR="003A401D">
        <w:rPr>
          <w:rFonts w:ascii="宋体" w:eastAsia="宋体" w:hAnsi="宋体" w:hint="eastAsia"/>
          <w:sz w:val="32"/>
          <w:szCs w:val="32"/>
        </w:rPr>
        <w:t>，</w:t>
      </w:r>
      <w:r w:rsidR="00364396" w:rsidRPr="00A875EE">
        <w:rPr>
          <w:rFonts w:ascii="宋体" w:eastAsia="宋体" w:hAnsi="宋体" w:hint="eastAsia"/>
          <w:sz w:val="32"/>
          <w:szCs w:val="32"/>
        </w:rPr>
        <w:t>董事会秘书</w:t>
      </w:r>
      <w:r w:rsidR="00613F28" w:rsidRPr="00A875EE">
        <w:rPr>
          <w:rFonts w:ascii="宋体" w:eastAsia="宋体" w:hAnsi="宋体" w:hint="eastAsia"/>
          <w:sz w:val="32"/>
          <w:szCs w:val="32"/>
        </w:rPr>
        <w:t>，</w:t>
      </w:r>
      <w:r w:rsidR="00367A5D" w:rsidRPr="00A875EE">
        <w:rPr>
          <w:rFonts w:ascii="宋体" w:eastAsia="宋体" w:hAnsi="宋体" w:hint="eastAsia"/>
          <w:sz w:val="32"/>
          <w:szCs w:val="32"/>
        </w:rPr>
        <w:t>财务总监</w:t>
      </w:r>
      <w:r w:rsidR="0076723F" w:rsidRPr="00A875EE">
        <w:rPr>
          <w:rFonts w:ascii="宋体" w:eastAsia="宋体" w:hAnsi="宋体" w:hint="eastAsia"/>
          <w:sz w:val="32"/>
          <w:szCs w:val="32"/>
        </w:rPr>
        <w:t>和有关业务负责人出席会议，向投资者</w:t>
      </w:r>
      <w:r w:rsidR="00A655DF" w:rsidRPr="00A875EE">
        <w:rPr>
          <w:rFonts w:ascii="宋体" w:eastAsia="宋体" w:hAnsi="宋体" w:hint="eastAsia"/>
          <w:sz w:val="32"/>
          <w:szCs w:val="32"/>
        </w:rPr>
        <w:t>介绍</w:t>
      </w:r>
      <w:r w:rsidRPr="00A875EE">
        <w:rPr>
          <w:rFonts w:ascii="宋体" w:eastAsia="宋体" w:hAnsi="宋体"/>
          <w:sz w:val="32"/>
          <w:szCs w:val="32"/>
        </w:rPr>
        <w:t>2025年</w:t>
      </w:r>
      <w:r w:rsidR="0028003F" w:rsidRPr="00A875EE">
        <w:rPr>
          <w:rFonts w:ascii="宋体" w:eastAsia="宋体" w:hAnsi="宋体" w:hint="eastAsia"/>
          <w:sz w:val="32"/>
          <w:szCs w:val="32"/>
        </w:rPr>
        <w:t>度</w:t>
      </w:r>
      <w:r w:rsidR="00A655DF" w:rsidRPr="00A875EE">
        <w:rPr>
          <w:rFonts w:ascii="宋体" w:eastAsia="宋体" w:hAnsi="宋体"/>
          <w:sz w:val="32"/>
          <w:szCs w:val="32"/>
        </w:rPr>
        <w:t>经营业绩、</w:t>
      </w:r>
      <w:r w:rsidR="000B4E67" w:rsidRPr="00A875EE">
        <w:rPr>
          <w:rFonts w:ascii="宋体" w:eastAsia="宋体" w:hAnsi="宋体" w:hint="eastAsia"/>
          <w:sz w:val="32"/>
          <w:szCs w:val="32"/>
        </w:rPr>
        <w:t>未来</w:t>
      </w:r>
      <w:r w:rsidR="0028003F" w:rsidRPr="00A875EE">
        <w:rPr>
          <w:rFonts w:ascii="宋体" w:eastAsia="宋体" w:hAnsi="宋体"/>
          <w:sz w:val="32"/>
          <w:szCs w:val="32"/>
        </w:rPr>
        <w:t>市场分析、经营措施等相关</w:t>
      </w:r>
      <w:r w:rsidR="0028003F" w:rsidRPr="00A875EE">
        <w:rPr>
          <w:rFonts w:ascii="宋体" w:eastAsia="宋体" w:hAnsi="宋体" w:hint="eastAsia"/>
          <w:sz w:val="32"/>
          <w:szCs w:val="32"/>
        </w:rPr>
        <w:t>情况</w:t>
      </w:r>
      <w:r w:rsidR="00A655DF" w:rsidRPr="00A875EE">
        <w:rPr>
          <w:rFonts w:ascii="宋体" w:eastAsia="宋体" w:hAnsi="宋体" w:hint="eastAsia"/>
          <w:sz w:val="32"/>
          <w:szCs w:val="32"/>
        </w:rPr>
        <w:t>，并就投资者关注的问题进行沟通和交流。</w:t>
      </w:r>
      <w:r w:rsidR="0076723F" w:rsidRPr="00A875EE">
        <w:rPr>
          <w:rFonts w:ascii="宋体" w:eastAsia="宋体" w:hAnsi="宋体" w:hint="eastAsia"/>
          <w:sz w:val="32"/>
          <w:szCs w:val="32"/>
        </w:rPr>
        <w:t>现就本次会议沟通、交流的重点内容整理如下：</w:t>
      </w:r>
    </w:p>
    <w:p w14:paraId="1150403B" w14:textId="6822ACD9" w:rsidR="00AC2D0D" w:rsidRPr="00A875EE" w:rsidRDefault="00387099" w:rsidP="00387099">
      <w:pPr>
        <w:pStyle w:val="1"/>
        <w:spacing w:before="156" w:after="156"/>
        <w:ind w:firstLineChars="200" w:firstLine="643"/>
      </w:pPr>
      <w:r w:rsidRPr="00A875EE">
        <w:t>2025年度商品煤增量及2026年产量计划</w:t>
      </w:r>
    </w:p>
    <w:p w14:paraId="31847B5F" w14:textId="68C26679" w:rsidR="00081CAC" w:rsidRPr="00A875EE" w:rsidRDefault="00081CAC" w:rsidP="00EB06F0">
      <w:pPr>
        <w:adjustRightInd w:val="0"/>
        <w:snapToGrid w:val="0"/>
        <w:spacing w:line="600" w:lineRule="exact"/>
        <w:ind w:firstLineChars="200" w:firstLine="643"/>
        <w:rPr>
          <w:rFonts w:ascii="宋体" w:eastAsia="宋体" w:hAnsi="宋体"/>
          <w:b/>
          <w:bCs/>
          <w:sz w:val="32"/>
          <w:szCs w:val="32"/>
        </w:rPr>
      </w:pPr>
      <w:r w:rsidRPr="00A875EE">
        <w:rPr>
          <w:rFonts w:ascii="宋体" w:eastAsia="宋体" w:hAnsi="宋体" w:hint="eastAsia"/>
          <w:b/>
          <w:bCs/>
          <w:sz w:val="32"/>
          <w:szCs w:val="32"/>
        </w:rPr>
        <w:t>（一）</w:t>
      </w:r>
      <w:r w:rsidRPr="00A875EE">
        <w:rPr>
          <w:rFonts w:ascii="宋体" w:eastAsia="宋体" w:hAnsi="宋体"/>
          <w:b/>
          <w:bCs/>
          <w:sz w:val="32"/>
          <w:szCs w:val="32"/>
        </w:rPr>
        <w:t>2025年增量</w:t>
      </w:r>
    </w:p>
    <w:p w14:paraId="391FA0E0" w14:textId="04FA50D7" w:rsidR="00387099" w:rsidRPr="00A875EE" w:rsidRDefault="00B15ECA" w:rsidP="00EB06F0">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公司及其附属公司（“本集团”）</w:t>
      </w:r>
      <w:r w:rsidR="00387099" w:rsidRPr="00A875EE">
        <w:rPr>
          <w:rFonts w:ascii="宋体" w:eastAsia="宋体" w:hAnsi="宋体"/>
          <w:sz w:val="32"/>
          <w:szCs w:val="32"/>
        </w:rPr>
        <w:t>2025年商品煤产量1.82亿吨，较2024年</w:t>
      </w:r>
      <w:r w:rsidR="00513F31" w:rsidRPr="00A875EE">
        <w:rPr>
          <w:rFonts w:ascii="宋体" w:eastAsia="宋体" w:hAnsi="宋体" w:hint="eastAsia"/>
          <w:sz w:val="32"/>
          <w:szCs w:val="32"/>
        </w:rPr>
        <w:t>年报披露</w:t>
      </w:r>
      <w:r w:rsidR="00387099" w:rsidRPr="00A875EE">
        <w:rPr>
          <w:rFonts w:ascii="宋体" w:eastAsia="宋体" w:hAnsi="宋体"/>
          <w:sz w:val="32"/>
          <w:szCs w:val="32"/>
        </w:rPr>
        <w:t>的1.42亿吨净增加</w:t>
      </w:r>
      <w:r w:rsidR="001B2D9F" w:rsidRPr="00A875EE">
        <w:rPr>
          <w:rFonts w:ascii="宋体" w:eastAsia="宋体" w:hAnsi="宋体" w:hint="eastAsia"/>
          <w:sz w:val="32"/>
          <w:szCs w:val="32"/>
        </w:rPr>
        <w:t>约</w:t>
      </w:r>
      <w:r w:rsidR="00387099" w:rsidRPr="00A875EE">
        <w:rPr>
          <w:rFonts w:ascii="宋体" w:eastAsia="宋体" w:hAnsi="宋体"/>
          <w:sz w:val="32"/>
          <w:szCs w:val="32"/>
        </w:rPr>
        <w:t>4000万吨，主要是受益于陕蒙基地、澳洲基地高产高效以及西北矿业并购</w:t>
      </w:r>
      <w:r w:rsidR="0070020A" w:rsidRPr="00A875EE">
        <w:rPr>
          <w:rFonts w:ascii="宋体" w:eastAsia="宋体" w:hAnsi="宋体" w:hint="eastAsia"/>
          <w:sz w:val="32"/>
          <w:szCs w:val="32"/>
        </w:rPr>
        <w:t>，</w:t>
      </w:r>
      <w:r w:rsidR="006D7DC8" w:rsidRPr="00A875EE">
        <w:rPr>
          <w:rFonts w:ascii="宋体" w:eastAsia="宋体" w:hAnsi="宋体" w:hint="eastAsia"/>
          <w:sz w:val="32"/>
          <w:szCs w:val="32"/>
        </w:rPr>
        <w:t>其中：</w:t>
      </w:r>
    </w:p>
    <w:p w14:paraId="288F60BB" w14:textId="0A3BC81D" w:rsidR="006D7DC8" w:rsidRPr="00A875EE" w:rsidRDefault="006D7DC8" w:rsidP="002D5A25">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1.陕蒙基地</w:t>
      </w:r>
      <w:r w:rsidRPr="00A875EE">
        <w:rPr>
          <w:rFonts w:ascii="宋体" w:eastAsia="宋体" w:hAnsi="宋体" w:hint="eastAsia"/>
          <w:sz w:val="32"/>
          <w:szCs w:val="32"/>
        </w:rPr>
        <w:t>商品煤产量</w:t>
      </w:r>
      <w:r w:rsidRPr="00A875EE">
        <w:rPr>
          <w:rFonts w:ascii="宋体" w:eastAsia="宋体" w:hAnsi="宋体"/>
          <w:sz w:val="32"/>
          <w:szCs w:val="32"/>
        </w:rPr>
        <w:t>4666万吨，同比增加354万吨；</w:t>
      </w:r>
    </w:p>
    <w:p w14:paraId="5C3F6439" w14:textId="5C621FF7" w:rsidR="006D7DC8" w:rsidRPr="00A875EE" w:rsidRDefault="002D5A25" w:rsidP="006D7DC8">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2</w:t>
      </w:r>
      <w:r w:rsidR="006D7DC8" w:rsidRPr="00A875EE">
        <w:rPr>
          <w:rFonts w:ascii="宋体" w:eastAsia="宋体" w:hAnsi="宋体"/>
          <w:sz w:val="32"/>
          <w:szCs w:val="32"/>
        </w:rPr>
        <w:t>.澳洲基地</w:t>
      </w:r>
      <w:r w:rsidR="006D7DC8" w:rsidRPr="00A875EE">
        <w:rPr>
          <w:rFonts w:ascii="宋体" w:eastAsia="宋体" w:hAnsi="宋体" w:hint="eastAsia"/>
          <w:sz w:val="32"/>
          <w:szCs w:val="32"/>
        </w:rPr>
        <w:t>商品煤产量</w:t>
      </w:r>
      <w:r w:rsidR="006D7DC8" w:rsidRPr="00A875EE">
        <w:rPr>
          <w:rFonts w:ascii="宋体" w:eastAsia="宋体" w:hAnsi="宋体"/>
          <w:sz w:val="32"/>
          <w:szCs w:val="32"/>
        </w:rPr>
        <w:t>4402万吨，同比增加172万吨；</w:t>
      </w:r>
    </w:p>
    <w:p w14:paraId="71DE9B40" w14:textId="71E5AF3C" w:rsidR="006D7DC8" w:rsidRPr="00A875EE" w:rsidRDefault="002D5A25" w:rsidP="006D7DC8">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3</w:t>
      </w:r>
      <w:r w:rsidR="006D7DC8" w:rsidRPr="00A875EE">
        <w:rPr>
          <w:rFonts w:ascii="宋体" w:eastAsia="宋体" w:hAnsi="宋体"/>
          <w:sz w:val="32"/>
          <w:szCs w:val="32"/>
        </w:rPr>
        <w:t>.西北矿业</w:t>
      </w:r>
      <w:r w:rsidR="006D7DC8" w:rsidRPr="00A875EE">
        <w:rPr>
          <w:rFonts w:ascii="宋体" w:eastAsia="宋体" w:hAnsi="宋体" w:hint="eastAsia"/>
          <w:sz w:val="32"/>
          <w:szCs w:val="32"/>
        </w:rPr>
        <w:t>商品煤产量</w:t>
      </w:r>
      <w:r w:rsidR="006D7DC8" w:rsidRPr="00A875EE">
        <w:rPr>
          <w:rFonts w:ascii="宋体" w:eastAsia="宋体" w:hAnsi="宋体"/>
          <w:sz w:val="32"/>
          <w:szCs w:val="32"/>
        </w:rPr>
        <w:t>3381万吨。</w:t>
      </w:r>
    </w:p>
    <w:p w14:paraId="65BF7472" w14:textId="79B67C10" w:rsidR="00081CAC" w:rsidRPr="00A875EE" w:rsidRDefault="00081CAC" w:rsidP="006D7DC8">
      <w:pPr>
        <w:adjustRightInd w:val="0"/>
        <w:snapToGrid w:val="0"/>
        <w:spacing w:line="600" w:lineRule="exact"/>
        <w:ind w:firstLineChars="200" w:firstLine="643"/>
        <w:rPr>
          <w:rFonts w:ascii="宋体" w:eastAsia="宋体" w:hAnsi="宋体"/>
          <w:b/>
          <w:bCs/>
          <w:sz w:val="32"/>
          <w:szCs w:val="32"/>
        </w:rPr>
      </w:pPr>
      <w:r w:rsidRPr="00A875EE">
        <w:rPr>
          <w:rFonts w:ascii="宋体" w:eastAsia="宋体" w:hAnsi="宋体" w:hint="eastAsia"/>
          <w:b/>
          <w:bCs/>
          <w:sz w:val="32"/>
          <w:szCs w:val="32"/>
        </w:rPr>
        <w:t>（二）</w:t>
      </w:r>
      <w:r w:rsidRPr="00A875EE">
        <w:rPr>
          <w:rFonts w:ascii="宋体" w:eastAsia="宋体" w:hAnsi="宋体"/>
          <w:b/>
          <w:bCs/>
          <w:sz w:val="32"/>
          <w:szCs w:val="32"/>
        </w:rPr>
        <w:t>2026年产量计划</w:t>
      </w:r>
    </w:p>
    <w:p w14:paraId="79E639B1" w14:textId="0E40E5F7" w:rsidR="002D5A25" w:rsidRPr="00A875EE" w:rsidRDefault="006D7DC8" w:rsidP="003A401D">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预计本集团</w:t>
      </w:r>
      <w:r w:rsidRPr="00A875EE">
        <w:rPr>
          <w:rFonts w:ascii="宋体" w:eastAsia="宋体" w:hAnsi="宋体"/>
          <w:sz w:val="32"/>
          <w:szCs w:val="32"/>
        </w:rPr>
        <w:t>2026年全年商品煤产量</w:t>
      </w:r>
      <w:r w:rsidR="002D5A25" w:rsidRPr="00A875EE">
        <w:rPr>
          <w:rFonts w:ascii="宋体" w:eastAsia="宋体" w:hAnsi="宋体"/>
          <w:sz w:val="32"/>
          <w:szCs w:val="32"/>
        </w:rPr>
        <w:t>1.86-1.9亿吨，同比增加400-800万吨</w:t>
      </w:r>
      <w:r w:rsidRPr="00A875EE">
        <w:rPr>
          <w:rFonts w:ascii="宋体" w:eastAsia="宋体" w:hAnsi="宋体"/>
          <w:sz w:val="32"/>
          <w:szCs w:val="32"/>
        </w:rPr>
        <w:t>。</w:t>
      </w:r>
    </w:p>
    <w:p w14:paraId="5BF83861" w14:textId="076FD3F2" w:rsidR="004C4EBB" w:rsidRPr="00A875EE" w:rsidRDefault="003D2C3B" w:rsidP="003D2C3B">
      <w:pPr>
        <w:pStyle w:val="1"/>
        <w:spacing w:before="156" w:after="156"/>
        <w:ind w:firstLineChars="220" w:firstLine="707"/>
      </w:pPr>
      <w:r w:rsidRPr="00A875EE">
        <w:rPr>
          <w:rFonts w:hint="eastAsia"/>
        </w:rPr>
        <w:lastRenderedPageBreak/>
        <w:t>对</w:t>
      </w:r>
      <w:r w:rsidR="00822C7A" w:rsidRPr="00A875EE">
        <w:t>2026年</w:t>
      </w:r>
      <w:r w:rsidRPr="00A875EE">
        <w:t>国内煤价走势判断</w:t>
      </w:r>
    </w:p>
    <w:p w14:paraId="21C45EAD" w14:textId="05711315" w:rsidR="00CF191C" w:rsidRPr="00A875EE" w:rsidRDefault="00CF191C" w:rsidP="00CF191C">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预计</w:t>
      </w:r>
      <w:r w:rsidRPr="00A875EE">
        <w:rPr>
          <w:rFonts w:ascii="宋体" w:eastAsia="宋体" w:hAnsi="宋体"/>
          <w:sz w:val="32"/>
          <w:szCs w:val="32"/>
        </w:rPr>
        <w:t>2026年供需将由偏宽松转向相对平衡、阶段性偏紧格局，价格中枢较2025年上移。在能源安全战略推动下，煤炭作为中国最可靠、最可控、最抗风险的核心底盘，在新型能源体系中“兜底保障和系统调节”作用持续强化，战略价值愈发凸显，为我国筑牢能源自主安全供应底线、应对外部环境变化提供了充足底气。</w:t>
      </w:r>
    </w:p>
    <w:p w14:paraId="0570C98D" w14:textId="77777777" w:rsidR="00CF191C" w:rsidRPr="00A875EE" w:rsidRDefault="00CF191C" w:rsidP="00CF191C">
      <w:pPr>
        <w:adjustRightInd w:val="0"/>
        <w:snapToGrid w:val="0"/>
        <w:spacing w:line="600" w:lineRule="exact"/>
        <w:ind w:firstLineChars="200" w:firstLine="643"/>
        <w:rPr>
          <w:rFonts w:ascii="宋体" w:eastAsia="宋体" w:hAnsi="宋体"/>
          <w:sz w:val="32"/>
          <w:szCs w:val="32"/>
        </w:rPr>
      </w:pPr>
      <w:r w:rsidRPr="00A875EE">
        <w:rPr>
          <w:rFonts w:ascii="宋体" w:eastAsia="宋体" w:hAnsi="宋体" w:hint="eastAsia"/>
          <w:b/>
          <w:bCs/>
          <w:sz w:val="32"/>
          <w:szCs w:val="32"/>
        </w:rPr>
        <w:t>供应端，</w:t>
      </w:r>
      <w:r w:rsidRPr="00A875EE">
        <w:rPr>
          <w:rFonts w:ascii="宋体" w:eastAsia="宋体" w:hAnsi="宋体" w:hint="eastAsia"/>
          <w:sz w:val="32"/>
          <w:szCs w:val="32"/>
        </w:rPr>
        <w:t>预计国内煤炭供给稳定、产量增速放缓。伴随“反内卷”政策全面落地，“超产能核查”长效化及手续不全核增产能退出，合规生产、均衡供应与产能结构优化成为明确方向。进口煤价格持续倒挂，煤炭进口收紧、供给补充作用有限。</w:t>
      </w:r>
    </w:p>
    <w:p w14:paraId="52F0CA43" w14:textId="43670E4B" w:rsidR="00CF191C" w:rsidRPr="00A875EE" w:rsidRDefault="00CF191C" w:rsidP="00CF191C">
      <w:pPr>
        <w:adjustRightInd w:val="0"/>
        <w:snapToGrid w:val="0"/>
        <w:spacing w:line="600" w:lineRule="exact"/>
        <w:ind w:firstLineChars="200" w:firstLine="643"/>
        <w:rPr>
          <w:rFonts w:ascii="宋体" w:eastAsia="宋体" w:hAnsi="宋体"/>
          <w:sz w:val="32"/>
          <w:szCs w:val="32"/>
        </w:rPr>
      </w:pPr>
      <w:r w:rsidRPr="00A875EE">
        <w:rPr>
          <w:rFonts w:ascii="宋体" w:eastAsia="宋体" w:hAnsi="宋体" w:hint="eastAsia"/>
          <w:b/>
          <w:bCs/>
          <w:sz w:val="32"/>
          <w:szCs w:val="32"/>
        </w:rPr>
        <w:t>需求端，</w:t>
      </w:r>
      <w:r w:rsidRPr="00A875EE">
        <w:rPr>
          <w:rFonts w:ascii="宋体" w:eastAsia="宋体" w:hAnsi="宋体" w:hint="eastAsia"/>
          <w:sz w:val="32"/>
          <w:szCs w:val="32"/>
        </w:rPr>
        <w:t>中国经济工作将坚持“稳中求进”总基调，实施更加积极有为的宏观政策，提振消费及扩大有效投资举措持续见效，将有力拉动能源需求。</w:t>
      </w:r>
      <w:r w:rsidRPr="00A875EE">
        <w:rPr>
          <w:rFonts w:ascii="宋体" w:eastAsia="宋体" w:hAnsi="宋体"/>
          <w:sz w:val="32"/>
          <w:szCs w:val="32"/>
        </w:rPr>
        <w:t>2025年，全社会用电量首次突破10万亿千瓦时，2026年1-2月，火电发电量同比增长3.3%，风光新能源发电量增速放缓。化工市场逐步回暖，用煤需求刚性增长。</w:t>
      </w:r>
    </w:p>
    <w:p w14:paraId="17782845" w14:textId="154DFB0B" w:rsidR="00857812" w:rsidRPr="00A875EE" w:rsidRDefault="00857812" w:rsidP="00857812">
      <w:pPr>
        <w:pStyle w:val="1"/>
        <w:spacing w:before="156" w:after="156"/>
        <w:ind w:firstLineChars="200" w:firstLine="643"/>
      </w:pPr>
      <w:r w:rsidRPr="00A875EE">
        <w:rPr>
          <w:rFonts w:hint="eastAsia"/>
        </w:rPr>
        <w:t>对</w:t>
      </w:r>
      <w:r w:rsidRPr="00A875EE">
        <w:t>2026年国际煤价走势判断</w:t>
      </w:r>
    </w:p>
    <w:p w14:paraId="12A9585B" w14:textId="77777777" w:rsidR="00857812" w:rsidRPr="00A875EE" w:rsidRDefault="00857812" w:rsidP="00857812">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地缘冲突加剧导致全球能源安全局势升级，推动国际油气价格大幅上涨，煤炭替代需求持续释放，供需格局改善带动国际煤价走强。</w:t>
      </w:r>
    </w:p>
    <w:p w14:paraId="5DFEEA87" w14:textId="7408D96F" w:rsidR="00857812" w:rsidRPr="00A875EE" w:rsidRDefault="00857812" w:rsidP="00857812">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lastRenderedPageBreak/>
        <w:t>主要产煤国煤炭增量有限，国际航运成本抬升，印尼恢复出口关税和削减产量配额政策尚不明朗，澳大利亚、俄罗斯煤炭产量预期下降，国际煤炭供给呈偏紧态势。国际能源署（</w:t>
      </w:r>
      <w:r w:rsidRPr="00A875EE">
        <w:rPr>
          <w:rFonts w:ascii="宋体" w:eastAsia="宋体" w:hAnsi="宋体"/>
          <w:sz w:val="32"/>
          <w:szCs w:val="32"/>
        </w:rPr>
        <w:t>IEA）预测2026年全球煤炭需求将维持高位，电力需求持续高速增长。印度、东南亚等煤炭需求将持续提升，进一步强化价格支撑。</w:t>
      </w:r>
    </w:p>
    <w:p w14:paraId="453AA52A" w14:textId="6BA49249" w:rsidR="003D2C3B" w:rsidRPr="00A875EE" w:rsidRDefault="00D539BC" w:rsidP="00D539BC">
      <w:pPr>
        <w:pStyle w:val="1"/>
        <w:spacing w:before="156" w:after="156"/>
        <w:ind w:firstLineChars="200" w:firstLine="643"/>
      </w:pPr>
      <w:r w:rsidRPr="00A875EE">
        <w:rPr>
          <w:rFonts w:hint="eastAsia"/>
        </w:rPr>
        <w:t>公司</w:t>
      </w:r>
      <w:r w:rsidRPr="00A875EE">
        <w:t>2026-2028年利润分配政策调整原因</w:t>
      </w:r>
    </w:p>
    <w:p w14:paraId="1407EA52" w14:textId="4B2BADA1" w:rsidR="001E4C35" w:rsidRPr="00A875EE" w:rsidRDefault="001E4C35" w:rsidP="001E4C35">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兖矿能源始终践行“股东至上、价值共享”理念，上市</w:t>
      </w:r>
      <w:r w:rsidRPr="00A875EE">
        <w:rPr>
          <w:rFonts w:ascii="宋体" w:eastAsia="宋体" w:hAnsi="宋体"/>
          <w:sz w:val="32"/>
          <w:szCs w:val="32"/>
        </w:rPr>
        <w:t>20余年来累计分红超900亿元。近期拟将2026-2028年度利润分配政策确定为：公司在各会计年度分配的现金股利总额，以中国会计准则和国际财务报告准则财务报表税后利润数较少者为准，应占公司该年度扣除法定储备后净利润的约50%。</w:t>
      </w:r>
      <w:r w:rsidR="005503EB" w:rsidRPr="00A875EE">
        <w:rPr>
          <w:rFonts w:ascii="宋体" w:eastAsia="宋体" w:hAnsi="宋体" w:hint="eastAsia"/>
          <w:sz w:val="32"/>
          <w:szCs w:val="32"/>
        </w:rPr>
        <w:t>该政策尚需提交公司股东会审议。</w:t>
      </w:r>
    </w:p>
    <w:p w14:paraId="4F9AD1EB" w14:textId="77777777" w:rsidR="001E4C35" w:rsidRPr="00A875EE" w:rsidRDefault="001E4C35" w:rsidP="001E4C35">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与此前净利润的</w:t>
      </w:r>
      <w:r w:rsidRPr="00A875EE">
        <w:rPr>
          <w:rFonts w:ascii="宋体" w:eastAsia="宋体" w:hAnsi="宋体"/>
          <w:sz w:val="32"/>
          <w:szCs w:val="32"/>
        </w:rPr>
        <w:t>60%且不低于0.5元/股的政策相比，此次调整是立足行业形势与发展实际的长远审慎安排。主要考量如下：</w:t>
      </w:r>
    </w:p>
    <w:p w14:paraId="01740DE0" w14:textId="77777777" w:rsidR="001E4C35" w:rsidRPr="00A875EE" w:rsidRDefault="001E4C35" w:rsidP="001E4C35">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1.统筹稳健经营与长期回报，适度放宽分红下限。当前外部宏观环境错综复杂，未来2-3年煤炭价格走势难以精准预判。适度放宽分红比例下限，有利于在不确定环境中更好平衡企业稳健经营与股东长期回报。</w:t>
      </w:r>
    </w:p>
    <w:p w14:paraId="5C44F442" w14:textId="77777777" w:rsidR="001E4C35" w:rsidRPr="00A875EE" w:rsidRDefault="001E4C35" w:rsidP="001E4C35">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2.立足高质量发展，夯实长期分红根基。公司未来五年发展路径清晰，在建及规划重点项目多，同时积极把握市场化优质资</w:t>
      </w:r>
      <w:r w:rsidRPr="00A875EE">
        <w:rPr>
          <w:rFonts w:ascii="宋体" w:eastAsia="宋体" w:hAnsi="宋体"/>
          <w:sz w:val="32"/>
          <w:szCs w:val="32"/>
        </w:rPr>
        <w:lastRenderedPageBreak/>
        <w:t>产并购机会，资金需求较为集中。</w:t>
      </w:r>
    </w:p>
    <w:p w14:paraId="5C5B766C" w14:textId="6E22392C" w:rsidR="001E4C35" w:rsidRPr="00A875EE" w:rsidRDefault="001E4C35" w:rsidP="001E4C35">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3.50%为底线非上限，历史分红持续领先。50%仅为分红底线而非上限。2019年以来公司分红比例均超60%。</w:t>
      </w:r>
    </w:p>
    <w:p w14:paraId="4C4CB0B8" w14:textId="7F9F29F7" w:rsidR="000352E9" w:rsidRPr="00A875EE" w:rsidRDefault="001E4C35" w:rsidP="00D1263B">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4.构建多元回报体系，丰富股东价值实现路径。未来公司将持续优化股东回报体系，积极顺应监管政策导向，通过股份回购、控股股东增持等多元方式，进一步丰富价值提升渠道，增强股东回报的实效性与可持续性。</w:t>
      </w:r>
    </w:p>
    <w:p w14:paraId="1B72DDE2" w14:textId="238CEAB0" w:rsidR="00257929" w:rsidRPr="00A875EE" w:rsidRDefault="00D1263B" w:rsidP="00D1263B">
      <w:pPr>
        <w:pStyle w:val="1"/>
        <w:spacing w:before="156" w:after="156"/>
        <w:ind w:firstLineChars="200" w:firstLine="643"/>
      </w:pPr>
      <w:r w:rsidRPr="00A875EE">
        <w:rPr>
          <w:rFonts w:hint="eastAsia"/>
        </w:rPr>
        <w:t>近期地缘政治冲突对化工品及公司的影响</w:t>
      </w:r>
    </w:p>
    <w:p w14:paraId="7A4B3977" w14:textId="77777777" w:rsidR="00D1263B" w:rsidRPr="00A875EE" w:rsidRDefault="00D1263B" w:rsidP="00D1263B">
      <w:pPr>
        <w:spacing w:line="580" w:lineRule="exact"/>
        <w:ind w:firstLineChars="200" w:firstLine="640"/>
        <w:rPr>
          <w:rFonts w:ascii="宋体" w:eastAsia="宋体" w:hAnsi="宋体" w:cstheme="majorEastAsia"/>
          <w:color w:val="222222"/>
          <w:sz w:val="32"/>
          <w:szCs w:val="32"/>
          <w:shd w:val="clear" w:color="auto" w:fill="FFFFFF"/>
        </w:rPr>
      </w:pPr>
      <w:r w:rsidRPr="00A875EE">
        <w:rPr>
          <w:rFonts w:ascii="宋体" w:eastAsia="宋体" w:hAnsi="宋体" w:cstheme="majorEastAsia" w:hint="eastAsia"/>
          <w:color w:val="222222"/>
          <w:sz w:val="32"/>
          <w:szCs w:val="32"/>
          <w:shd w:val="clear" w:color="auto" w:fill="FFFFFF"/>
        </w:rPr>
        <w:t>近期地缘冲突冲击全球能源市场，原油走强推动煤化工“替代效应”凸显，叠加中东供应缺口扩大，带动化工品价格攀升，甲醇、煤制油等产品大幅上涨。兖矿能源化工产业凭借规模、技术及成本优势，成为最具确定性的受益板块之一。</w:t>
      </w:r>
    </w:p>
    <w:p w14:paraId="32E875FA" w14:textId="165957FD" w:rsidR="00D1263B" w:rsidRPr="00A875EE" w:rsidRDefault="00D1263B" w:rsidP="00D1263B">
      <w:pPr>
        <w:spacing w:line="580" w:lineRule="exact"/>
        <w:ind w:firstLineChars="200" w:firstLine="640"/>
        <w:rPr>
          <w:rFonts w:ascii="宋体" w:eastAsia="宋体" w:hAnsi="宋体" w:cstheme="majorEastAsia"/>
          <w:color w:val="222222"/>
          <w:sz w:val="32"/>
          <w:szCs w:val="32"/>
          <w:shd w:val="clear" w:color="auto" w:fill="FFFFFF"/>
        </w:rPr>
      </w:pPr>
      <w:r w:rsidRPr="00A875EE">
        <w:rPr>
          <w:rFonts w:ascii="宋体" w:eastAsia="宋体" w:hAnsi="宋体" w:cstheme="majorEastAsia" w:hint="eastAsia"/>
          <w:color w:val="222222"/>
          <w:sz w:val="32"/>
          <w:szCs w:val="32"/>
          <w:shd w:val="clear" w:color="auto" w:fill="FFFFFF"/>
        </w:rPr>
        <w:t>（一）地缘冲突驱动化工品价格全线上涨。中东作为全球化工品核心供应地，出口航运受限，国内甲醇、烯烃等进口依赖度较高的品类出现刚性缺口，推动化工品价格全线冲高。</w:t>
      </w:r>
      <w:r w:rsidRPr="00A875EE">
        <w:rPr>
          <w:rFonts w:ascii="宋体" w:eastAsia="宋体" w:hAnsi="宋体" w:cstheme="majorEastAsia"/>
          <w:color w:val="222222"/>
          <w:sz w:val="32"/>
          <w:szCs w:val="32"/>
          <w:shd w:val="clear" w:color="auto" w:fill="FFFFFF"/>
        </w:rPr>
        <w:t>甲醇</w:t>
      </w:r>
      <w:r w:rsidR="009E3B69" w:rsidRPr="00A875EE">
        <w:rPr>
          <w:rFonts w:ascii="宋体" w:eastAsia="宋体" w:hAnsi="宋体" w:cstheme="majorEastAsia" w:hint="eastAsia"/>
          <w:color w:val="222222"/>
          <w:sz w:val="32"/>
          <w:szCs w:val="32"/>
          <w:shd w:val="clear" w:color="auto" w:fill="FFFFFF"/>
        </w:rPr>
        <w:t>、</w:t>
      </w:r>
      <w:r w:rsidRPr="00A875EE">
        <w:rPr>
          <w:rFonts w:ascii="宋体" w:eastAsia="宋体" w:hAnsi="宋体" w:cstheme="majorEastAsia"/>
          <w:color w:val="222222"/>
          <w:sz w:val="32"/>
          <w:szCs w:val="32"/>
          <w:shd w:val="clear" w:color="auto" w:fill="FFFFFF"/>
        </w:rPr>
        <w:t>煤制油、醋酸、尿素等产品同步大幅上行，为双线布局煤炭、煤化工的企业创造了绝佳发展窗口。</w:t>
      </w:r>
    </w:p>
    <w:p w14:paraId="1B02D974" w14:textId="77777777" w:rsidR="00D1263B" w:rsidRPr="00A875EE" w:rsidRDefault="00D1263B" w:rsidP="00D1263B">
      <w:pPr>
        <w:spacing w:line="580" w:lineRule="exact"/>
        <w:ind w:firstLineChars="200" w:firstLine="640"/>
        <w:rPr>
          <w:rFonts w:ascii="宋体" w:eastAsia="宋体" w:hAnsi="宋体" w:cstheme="majorEastAsia"/>
          <w:color w:val="222222"/>
          <w:sz w:val="32"/>
          <w:szCs w:val="32"/>
          <w:shd w:val="clear" w:color="auto" w:fill="FFFFFF"/>
        </w:rPr>
      </w:pPr>
      <w:r w:rsidRPr="00A875EE">
        <w:rPr>
          <w:rFonts w:ascii="宋体" w:eastAsia="宋体" w:hAnsi="宋体" w:cstheme="majorEastAsia" w:hint="eastAsia"/>
          <w:color w:val="222222"/>
          <w:sz w:val="32"/>
          <w:szCs w:val="32"/>
          <w:shd w:val="clear" w:color="auto" w:fill="FFFFFF"/>
        </w:rPr>
        <w:t>（二）多产业链布局，核心产品优势突出。兖矿能源深耕煤化工二十余年，构建山东、陕西、内蒙古、新疆四大化工基地，煤化工总产能突破</w:t>
      </w:r>
      <w:r w:rsidRPr="00A875EE">
        <w:rPr>
          <w:rFonts w:ascii="宋体" w:eastAsia="宋体" w:hAnsi="宋体" w:cstheme="majorEastAsia"/>
          <w:color w:val="222222"/>
          <w:sz w:val="32"/>
          <w:szCs w:val="32"/>
          <w:shd w:val="clear" w:color="auto" w:fill="FFFFFF"/>
        </w:rPr>
        <w:t>1100万吨，规模稳居行业前列。主要产品产能分别为：甲醇销售量433万吨、居国内首位；煤制油产能100</w:t>
      </w:r>
      <w:r w:rsidRPr="00A875EE">
        <w:rPr>
          <w:rFonts w:ascii="宋体" w:eastAsia="宋体" w:hAnsi="宋体" w:cstheme="majorEastAsia"/>
          <w:color w:val="222222"/>
          <w:sz w:val="32"/>
          <w:szCs w:val="32"/>
          <w:shd w:val="clear" w:color="auto" w:fill="FFFFFF"/>
        </w:rPr>
        <w:lastRenderedPageBreak/>
        <w:t>万吨、位居全国前列；醋酸产能100万吨、位列全国第五；另有尿素产能92万吨、乙二醇产能40万吨、己内酰胺产能30万吨、聚甲醛产能8万吨，产品种类丰富、规模领先。</w:t>
      </w:r>
    </w:p>
    <w:p w14:paraId="0861AF7F" w14:textId="0AF7A782" w:rsidR="00BD486B" w:rsidRPr="00A875EE" w:rsidRDefault="00D1263B" w:rsidP="009E3B69">
      <w:pPr>
        <w:spacing w:line="580" w:lineRule="exact"/>
        <w:ind w:firstLineChars="200" w:firstLine="640"/>
        <w:rPr>
          <w:rFonts w:ascii="宋体" w:eastAsia="宋体" w:hAnsi="宋体" w:cstheme="majorEastAsia"/>
          <w:color w:val="222222"/>
          <w:sz w:val="32"/>
          <w:szCs w:val="32"/>
          <w:shd w:val="clear" w:color="auto" w:fill="FFFFFF"/>
        </w:rPr>
      </w:pPr>
      <w:r w:rsidRPr="00A875EE">
        <w:rPr>
          <w:rFonts w:ascii="宋体" w:eastAsia="宋体" w:hAnsi="宋体" w:cstheme="majorEastAsia" w:hint="eastAsia"/>
          <w:color w:val="222222"/>
          <w:sz w:val="32"/>
          <w:szCs w:val="32"/>
          <w:shd w:val="clear" w:color="auto" w:fill="FFFFFF"/>
        </w:rPr>
        <w:t>作为国内稀缺的“煤炭</w:t>
      </w:r>
      <w:r w:rsidRPr="00A875EE">
        <w:rPr>
          <w:rFonts w:ascii="宋体" w:eastAsia="宋体" w:hAnsi="宋体" w:cstheme="majorEastAsia"/>
          <w:color w:val="222222"/>
          <w:sz w:val="32"/>
          <w:szCs w:val="32"/>
          <w:shd w:val="clear" w:color="auto" w:fill="FFFFFF"/>
        </w:rPr>
        <w:t>+煤化工”全产业链龙头企业，兖矿能源双主业协同效应加速释放，全年业绩增长具备较强确定性。公司将抢抓有利时机，全方位释放“煤化一体”协同效应，推动化工板块稳产优产、增收提效。同时加快建设荣信化工80万吨烯烃、鲁南化工6万吨聚甲醛项目，稳步推进新疆能化80万吨煤制烯烃、未来能源50万吨高温费托项目，持续延伸高端化工产业链，提升盈利空间。</w:t>
      </w:r>
    </w:p>
    <w:p w14:paraId="0497B55F" w14:textId="701438A0" w:rsidR="00EF0AD4" w:rsidRPr="00A875EE" w:rsidRDefault="00EF0AD4" w:rsidP="009E3B69">
      <w:pPr>
        <w:pStyle w:val="1"/>
        <w:spacing w:before="156" w:after="156"/>
        <w:ind w:firstLineChars="200" w:firstLine="643"/>
      </w:pPr>
      <w:r w:rsidRPr="00A875EE">
        <w:rPr>
          <w:rFonts w:hint="eastAsia"/>
        </w:rPr>
        <w:t>如何实现</w:t>
      </w:r>
      <w:r w:rsidRPr="00A875EE">
        <w:t>3亿吨</w:t>
      </w:r>
      <w:r w:rsidR="009E3B69" w:rsidRPr="00A875EE">
        <w:rPr>
          <w:rFonts w:hint="eastAsia"/>
        </w:rPr>
        <w:t>原煤产量</w:t>
      </w:r>
      <w:r w:rsidRPr="00A875EE">
        <w:t>规划目标</w:t>
      </w:r>
    </w:p>
    <w:p w14:paraId="4EC9CEDA" w14:textId="77777777" w:rsidR="009E3B69" w:rsidRPr="00A875EE" w:rsidRDefault="009E3B69"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公司</w:t>
      </w:r>
      <w:r w:rsidRPr="00A875EE">
        <w:rPr>
          <w:rFonts w:ascii="宋体" w:eastAsia="宋体" w:hAnsi="宋体"/>
          <w:sz w:val="32"/>
          <w:szCs w:val="32"/>
        </w:rPr>
        <w:t xml:space="preserve">2021年12月制定的《发展战略纲要》提出，力争5-10年原煤产量达到3亿吨/年。目前，本集团在产、在建及规划矿井合计产能约3亿吨/年，将如期实现“原煤3亿吨”目标。包括： </w:t>
      </w:r>
    </w:p>
    <w:p w14:paraId="2F116021" w14:textId="77777777" w:rsidR="009E3B69" w:rsidRPr="00A875EE" w:rsidRDefault="009E3B69"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（一）</w:t>
      </w:r>
      <w:r w:rsidRPr="00A875EE">
        <w:rPr>
          <w:rFonts w:ascii="宋体" w:eastAsia="宋体" w:hAnsi="宋体"/>
          <w:sz w:val="32"/>
          <w:szCs w:val="32"/>
        </w:rPr>
        <w:t>2025年商品煤产量1.82亿吨，对应原煤产量2.2亿吨。</w:t>
      </w:r>
    </w:p>
    <w:p w14:paraId="48A1B126" w14:textId="77777777" w:rsidR="009E3B69" w:rsidRPr="00A875EE" w:rsidRDefault="009E3B69"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（二）</w:t>
      </w:r>
      <w:r w:rsidRPr="00A875EE">
        <w:rPr>
          <w:rFonts w:ascii="宋体" w:eastAsia="宋体" w:hAnsi="宋体"/>
          <w:sz w:val="32"/>
          <w:szCs w:val="32"/>
        </w:rPr>
        <w:t>2026年至2031年，商品煤增量总计约7000-8000万吨，主要是：</w:t>
      </w:r>
    </w:p>
    <w:p w14:paraId="7E15CC80" w14:textId="61AC4D17" w:rsidR="009E3B69" w:rsidRPr="00A875EE" w:rsidRDefault="009E3B69"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1.陕蒙区域</w:t>
      </w:r>
      <w:r w:rsidR="00BA2A40" w:rsidRPr="00A875EE">
        <w:rPr>
          <w:rFonts w:ascii="宋体" w:eastAsia="宋体" w:hAnsi="宋体"/>
          <w:sz w:val="32"/>
          <w:szCs w:val="32"/>
        </w:rPr>
        <w:t>油房壕矿、霍林河一号矿、刘三圪旦矿、杨家坪矿及嘎鲁图</w:t>
      </w:r>
      <w:r w:rsidR="00BA2A40" w:rsidRPr="00A875EE">
        <w:rPr>
          <w:rFonts w:ascii="宋体" w:eastAsia="宋体" w:hAnsi="宋体" w:hint="eastAsia"/>
          <w:sz w:val="32"/>
          <w:szCs w:val="32"/>
        </w:rPr>
        <w:t>矿</w:t>
      </w:r>
      <w:r w:rsidR="00CF4103" w:rsidRPr="00A875EE">
        <w:rPr>
          <w:rFonts w:ascii="宋体" w:eastAsia="宋体" w:hAnsi="宋体" w:hint="eastAsia"/>
          <w:sz w:val="32"/>
          <w:szCs w:val="32"/>
        </w:rPr>
        <w:t>等</w:t>
      </w:r>
      <w:r w:rsidRPr="00A875EE">
        <w:rPr>
          <w:rFonts w:ascii="宋体" w:eastAsia="宋体" w:hAnsi="宋体"/>
          <w:sz w:val="32"/>
          <w:szCs w:val="32"/>
        </w:rPr>
        <w:t>新建产能。</w:t>
      </w:r>
    </w:p>
    <w:p w14:paraId="3EE54DA9" w14:textId="4FB251EC" w:rsidR="00BA2A40" w:rsidRPr="00A875EE" w:rsidRDefault="00980FAB"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lastRenderedPageBreak/>
        <w:t>2</w:t>
      </w:r>
      <w:r w:rsidR="009E3B69" w:rsidRPr="00A875EE">
        <w:rPr>
          <w:rFonts w:ascii="宋体" w:eastAsia="宋体" w:hAnsi="宋体"/>
          <w:sz w:val="32"/>
          <w:szCs w:val="32"/>
        </w:rPr>
        <w:t>.新疆区域</w:t>
      </w:r>
      <w:r w:rsidR="00BA2A40" w:rsidRPr="00A875EE">
        <w:rPr>
          <w:rFonts w:ascii="宋体" w:eastAsia="宋体" w:hAnsi="宋体"/>
          <w:sz w:val="32"/>
          <w:szCs w:val="32"/>
        </w:rPr>
        <w:t>五彩湾四号露天矿一期项目</w:t>
      </w:r>
      <w:r w:rsidR="00BA2A40" w:rsidRPr="00A875EE">
        <w:rPr>
          <w:rFonts w:ascii="宋体" w:eastAsia="宋体" w:hAnsi="宋体" w:hint="eastAsia"/>
          <w:sz w:val="32"/>
          <w:szCs w:val="32"/>
        </w:rPr>
        <w:t>和</w:t>
      </w:r>
      <w:r w:rsidR="00BA2A40" w:rsidRPr="00A875EE">
        <w:rPr>
          <w:rFonts w:ascii="宋体" w:eastAsia="宋体" w:hAnsi="宋体"/>
          <w:sz w:val="32"/>
          <w:szCs w:val="32"/>
        </w:rPr>
        <w:t>二期项目</w:t>
      </w:r>
      <w:r w:rsidR="00BA2A40" w:rsidRPr="00A875EE">
        <w:rPr>
          <w:rFonts w:ascii="宋体" w:eastAsia="宋体" w:hAnsi="宋体" w:hint="eastAsia"/>
          <w:sz w:val="32"/>
          <w:szCs w:val="32"/>
        </w:rPr>
        <w:t>建成后达产达效。</w:t>
      </w:r>
    </w:p>
    <w:p w14:paraId="138F9DFA" w14:textId="2A1652D5" w:rsidR="009E3B69" w:rsidRPr="00A875EE" w:rsidRDefault="00980FAB"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3</w:t>
      </w:r>
      <w:r w:rsidR="009E3B69" w:rsidRPr="00A875EE">
        <w:rPr>
          <w:rFonts w:ascii="宋体" w:eastAsia="宋体" w:hAnsi="宋体"/>
          <w:sz w:val="32"/>
          <w:szCs w:val="32"/>
        </w:rPr>
        <w:t>.甘肃区域马福川、毛家川两座煤矿新增产能。</w:t>
      </w:r>
    </w:p>
    <w:p w14:paraId="46AC5BF8" w14:textId="07AC46A2" w:rsidR="009E3B69" w:rsidRPr="00A875EE" w:rsidRDefault="009E3B69" w:rsidP="009E3B69">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此外，公司将持续关注境内外市场优质资产的并购机遇，争取增产提效的外部机会。</w:t>
      </w:r>
    </w:p>
    <w:p w14:paraId="0A29B0D2" w14:textId="551CEBE3" w:rsidR="009E3B69" w:rsidRPr="00A875EE" w:rsidRDefault="00262DA7" w:rsidP="00B15ECA">
      <w:pPr>
        <w:pStyle w:val="1"/>
        <w:spacing w:before="156" w:after="156"/>
        <w:ind w:firstLineChars="200" w:firstLine="643"/>
      </w:pPr>
      <w:r w:rsidRPr="00A875EE">
        <w:rPr>
          <w:rFonts w:hint="eastAsia"/>
        </w:rPr>
        <w:t>兴和钼业</w:t>
      </w:r>
      <w:r w:rsidR="00B15ECA" w:rsidRPr="00A875EE">
        <w:rPr>
          <w:rFonts w:hint="eastAsia"/>
        </w:rPr>
        <w:t>（曹四夭钼矿）</w:t>
      </w:r>
      <w:r w:rsidRPr="00A875EE">
        <w:rPr>
          <w:rFonts w:hint="eastAsia"/>
        </w:rPr>
        <w:t>的</w:t>
      </w:r>
      <w:r w:rsidR="00CB713C" w:rsidRPr="00A875EE">
        <w:rPr>
          <w:rFonts w:hint="eastAsia"/>
        </w:rPr>
        <w:t>基本</w:t>
      </w:r>
      <w:r w:rsidRPr="00A875EE">
        <w:rPr>
          <w:rFonts w:hint="eastAsia"/>
        </w:rPr>
        <w:t>概况</w:t>
      </w:r>
    </w:p>
    <w:p w14:paraId="1209D3AB" w14:textId="460E18D3" w:rsidR="00262DA7" w:rsidRPr="00A875EE" w:rsidRDefault="00262DA7" w:rsidP="00262DA7">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兴和钼业（曹四夭钼矿）是公司矿业产业延伸的核心战略项目，该矿拥有丰富的资源储量和较强的成本竞争力，规模化开发优势显著，建成后将成为公司重要利润增长点。</w:t>
      </w:r>
    </w:p>
    <w:p w14:paraId="0BF3D99E" w14:textId="400F6AB5" w:rsidR="009E3B69" w:rsidRPr="00A875EE" w:rsidRDefault="00262DA7" w:rsidP="00262DA7">
      <w:pPr>
        <w:adjustRightInd w:val="0"/>
        <w:snapToGrid w:val="0"/>
        <w:spacing w:line="600" w:lineRule="exact"/>
        <w:ind w:firstLineChars="200" w:firstLine="640"/>
        <w:rPr>
          <w:rFonts w:ascii="宋体" w:eastAsia="宋体" w:hAnsi="宋体" w:hint="eastAsia"/>
          <w:sz w:val="32"/>
          <w:szCs w:val="32"/>
        </w:rPr>
      </w:pPr>
      <w:r w:rsidRPr="00A875EE">
        <w:rPr>
          <w:rFonts w:ascii="宋体" w:eastAsia="宋体" w:hAnsi="宋体" w:hint="eastAsia"/>
          <w:sz w:val="32"/>
          <w:szCs w:val="32"/>
        </w:rPr>
        <w:t>根据长沙有色冶金设计研究院有限公司编制的可行性研究报告，兴和钼业（曹四夭钼矿）地处内蒙古自治区乌兰察布市兴和县，拥有钼矿石资源量</w:t>
      </w:r>
      <w:r w:rsidRPr="00A875EE">
        <w:rPr>
          <w:rFonts w:ascii="宋体" w:eastAsia="宋体" w:hAnsi="宋体"/>
          <w:sz w:val="32"/>
          <w:szCs w:val="32"/>
        </w:rPr>
        <w:t>10.4亿吨，金属量108.9万吨，平均品位0.105</w:t>
      </w:r>
      <w:r w:rsidR="00D56BAF" w:rsidRPr="00A875EE">
        <w:rPr>
          <w:rFonts w:ascii="宋体" w:eastAsia="宋体" w:hAnsi="宋体" w:hint="eastAsia"/>
          <w:sz w:val="32"/>
          <w:szCs w:val="32"/>
        </w:rPr>
        <w:t>%</w:t>
      </w:r>
      <w:r w:rsidRPr="00A875EE">
        <w:rPr>
          <w:rFonts w:ascii="宋体" w:eastAsia="宋体" w:hAnsi="宋体"/>
          <w:sz w:val="32"/>
          <w:szCs w:val="32"/>
        </w:rPr>
        <w:t>，并伴生有钨、锌等金属。设计产能为原矿1650万吨/年，达产年钼精矿产量3.08万吨/年。2026年2月获发年产规模1650万吨的采矿许可证电子证书，预计2026年下半年开工建设</w:t>
      </w:r>
      <w:r w:rsidRPr="00A875EE">
        <w:rPr>
          <w:rFonts w:ascii="宋体" w:eastAsia="宋体" w:hAnsi="宋体" w:hint="eastAsia"/>
          <w:sz w:val="32"/>
          <w:szCs w:val="32"/>
        </w:rPr>
        <w:t>，</w:t>
      </w:r>
      <w:r w:rsidRPr="00A875EE">
        <w:rPr>
          <w:rFonts w:ascii="宋体" w:eastAsia="宋体" w:hAnsi="宋体"/>
          <w:sz w:val="32"/>
          <w:szCs w:val="32"/>
        </w:rPr>
        <w:t>建设周期1.5-2年</w:t>
      </w:r>
      <w:r w:rsidRPr="00A875EE">
        <w:rPr>
          <w:rFonts w:ascii="宋体" w:eastAsia="宋体" w:hAnsi="宋体" w:hint="eastAsia"/>
          <w:sz w:val="32"/>
          <w:szCs w:val="32"/>
        </w:rPr>
        <w:t>。</w:t>
      </w:r>
    </w:p>
    <w:p w14:paraId="5B411541" w14:textId="42AD7EED" w:rsidR="00B15ECA" w:rsidRPr="00A875EE" w:rsidRDefault="00C532B9" w:rsidP="00C532B9">
      <w:pPr>
        <w:pStyle w:val="1"/>
        <w:spacing w:before="156" w:after="156"/>
        <w:ind w:firstLineChars="200" w:firstLine="643"/>
      </w:pPr>
      <w:r w:rsidRPr="00A875EE">
        <w:rPr>
          <w:rFonts w:hint="eastAsia"/>
        </w:rPr>
        <w:t>物泊科技分拆上市基本情况及原因</w:t>
      </w:r>
    </w:p>
    <w:p w14:paraId="6D10E6E8" w14:textId="77777777" w:rsidR="00FC51DF" w:rsidRPr="00A875EE" w:rsidRDefault="00FC51DF" w:rsidP="00FC51DF">
      <w:pPr>
        <w:adjustRightInd w:val="0"/>
        <w:snapToGrid w:val="0"/>
        <w:spacing w:line="600" w:lineRule="exact"/>
        <w:ind w:firstLineChars="200" w:firstLine="643"/>
        <w:rPr>
          <w:rFonts w:ascii="宋体" w:eastAsia="宋体" w:hAnsi="宋体"/>
          <w:b/>
          <w:bCs/>
          <w:sz w:val="32"/>
          <w:szCs w:val="32"/>
        </w:rPr>
      </w:pPr>
      <w:r w:rsidRPr="00A875EE">
        <w:rPr>
          <w:rFonts w:ascii="宋体" w:eastAsia="宋体" w:hAnsi="宋体" w:hint="eastAsia"/>
          <w:b/>
          <w:bCs/>
          <w:sz w:val="32"/>
          <w:szCs w:val="32"/>
        </w:rPr>
        <w:t>（一）基本情况</w:t>
      </w:r>
    </w:p>
    <w:p w14:paraId="3C774226" w14:textId="4007822C" w:rsidR="00FC51DF" w:rsidRPr="00A875EE" w:rsidRDefault="00FC51DF" w:rsidP="00793706">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2024年5月，公司以现金15.5亿元增资物泊科技，获得物泊科技45%股权及6.32%表决权，2024年10月实现并表。</w:t>
      </w:r>
      <w:r w:rsidR="009D6264" w:rsidRPr="00A875EE">
        <w:rPr>
          <w:rFonts w:ascii="宋体" w:eastAsia="宋体" w:hAnsi="宋体" w:hint="eastAsia"/>
          <w:sz w:val="32"/>
          <w:szCs w:val="32"/>
        </w:rPr>
        <w:t>物泊</w:t>
      </w:r>
      <w:r w:rsidR="009D6264" w:rsidRPr="00A875EE">
        <w:rPr>
          <w:rFonts w:ascii="宋体" w:eastAsia="宋体" w:hAnsi="宋体" w:hint="eastAsia"/>
          <w:sz w:val="32"/>
          <w:szCs w:val="32"/>
        </w:rPr>
        <w:lastRenderedPageBreak/>
        <w:t>科技“实体物流</w:t>
      </w:r>
      <w:r w:rsidR="009D6264" w:rsidRPr="00A875EE">
        <w:rPr>
          <w:rFonts w:ascii="宋体" w:eastAsia="宋体" w:hAnsi="宋体"/>
          <w:sz w:val="32"/>
          <w:szCs w:val="32"/>
        </w:rPr>
        <w:t>+数智平台”</w:t>
      </w:r>
      <w:r w:rsidR="009D6264" w:rsidRPr="00A875EE">
        <w:rPr>
          <w:rFonts w:ascii="宋体" w:eastAsia="宋体" w:hAnsi="宋体" w:hint="eastAsia"/>
          <w:sz w:val="32"/>
          <w:szCs w:val="32"/>
        </w:rPr>
        <w:t>模式实现深度融合，</w:t>
      </w:r>
      <w:r w:rsidR="009D6264" w:rsidRPr="00A875EE">
        <w:rPr>
          <w:rFonts w:ascii="宋体" w:eastAsia="宋体" w:hAnsi="宋体"/>
          <w:sz w:val="32"/>
          <w:szCs w:val="32"/>
        </w:rPr>
        <w:t>2025年</w:t>
      </w:r>
      <w:r w:rsidR="009D6264" w:rsidRPr="00A875EE">
        <w:rPr>
          <w:rFonts w:ascii="宋体" w:eastAsia="宋体" w:hAnsi="宋体" w:hint="eastAsia"/>
          <w:sz w:val="32"/>
          <w:szCs w:val="32"/>
        </w:rPr>
        <w:t>全年运量突破</w:t>
      </w:r>
      <w:r w:rsidR="009D6264" w:rsidRPr="00A875EE">
        <w:rPr>
          <w:rFonts w:ascii="宋体" w:eastAsia="宋体" w:hAnsi="宋体"/>
          <w:sz w:val="32"/>
          <w:szCs w:val="32"/>
        </w:rPr>
        <w:t>2.4亿吨</w:t>
      </w:r>
      <w:r w:rsidR="00BF3339" w:rsidRPr="00A875EE">
        <w:rPr>
          <w:rFonts w:ascii="宋体" w:eastAsia="宋体" w:hAnsi="宋体" w:hint="eastAsia"/>
          <w:sz w:val="32"/>
          <w:szCs w:val="32"/>
        </w:rPr>
        <w:t>，</w:t>
      </w:r>
      <w:r w:rsidR="009D6264" w:rsidRPr="00A875EE">
        <w:rPr>
          <w:rFonts w:ascii="宋体" w:eastAsia="宋体" w:hAnsi="宋体"/>
          <w:sz w:val="32"/>
          <w:szCs w:val="32"/>
        </w:rPr>
        <w:t>成功开拓国际远洋航线，加速布局东南亚等海外市</w:t>
      </w:r>
      <w:r w:rsidR="009D6264" w:rsidRPr="00A875EE">
        <w:rPr>
          <w:rFonts w:ascii="宋体" w:eastAsia="宋体" w:hAnsi="宋体" w:hint="eastAsia"/>
          <w:sz w:val="32"/>
          <w:szCs w:val="32"/>
        </w:rPr>
        <w:t>场。</w:t>
      </w:r>
    </w:p>
    <w:p w14:paraId="75FA8FF0" w14:textId="77777777" w:rsidR="00FC51DF" w:rsidRPr="00A875EE"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hint="eastAsia"/>
          <w:sz w:val="32"/>
          <w:szCs w:val="32"/>
        </w:rPr>
        <w:t>兖矿能源拟将物泊科技分拆至香港联交所主板上市，并发行</w:t>
      </w:r>
      <w:r w:rsidRPr="00A875EE">
        <w:rPr>
          <w:rFonts w:ascii="宋体" w:eastAsia="宋体" w:hAnsi="宋体"/>
          <w:sz w:val="32"/>
          <w:szCs w:val="32"/>
        </w:rPr>
        <w:t>H股。募集资金将主要用于研发技术投入与平台迭代升级、数据中心建设、销售服务网络建设及市场拓展，以及公司运营等用途。</w:t>
      </w:r>
    </w:p>
    <w:p w14:paraId="2870D5B6" w14:textId="4714EE44" w:rsidR="00FC51DF" w:rsidRPr="00A875EE"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本次分拆</w:t>
      </w:r>
      <w:r w:rsidR="00F85375" w:rsidRPr="00A875EE">
        <w:rPr>
          <w:rFonts w:ascii="宋体" w:eastAsia="宋体" w:hAnsi="宋体" w:hint="eastAsia"/>
          <w:sz w:val="32"/>
          <w:szCs w:val="32"/>
        </w:rPr>
        <w:t>上市</w:t>
      </w:r>
      <w:r w:rsidRPr="00A875EE">
        <w:rPr>
          <w:rFonts w:ascii="宋体" w:eastAsia="宋体" w:hAnsi="宋体"/>
          <w:sz w:val="32"/>
          <w:szCs w:val="32"/>
        </w:rPr>
        <w:t>目前正在推进香港联交所审核程序</w:t>
      </w:r>
      <w:r w:rsidR="00F85375" w:rsidRPr="00A875EE">
        <w:rPr>
          <w:rFonts w:ascii="宋体" w:eastAsia="宋体" w:hAnsi="宋体" w:hint="eastAsia"/>
          <w:sz w:val="32"/>
          <w:szCs w:val="32"/>
        </w:rPr>
        <w:t>，尚需提交公司股东会审议批准。</w:t>
      </w:r>
    </w:p>
    <w:p w14:paraId="0BC373C6" w14:textId="427E7A0A" w:rsidR="00FC51DF" w:rsidRPr="00A875EE" w:rsidRDefault="00FC51DF" w:rsidP="00FC51DF">
      <w:pPr>
        <w:adjustRightInd w:val="0"/>
        <w:snapToGrid w:val="0"/>
        <w:spacing w:line="600" w:lineRule="exact"/>
        <w:ind w:firstLineChars="200" w:firstLine="643"/>
        <w:rPr>
          <w:rFonts w:ascii="宋体" w:eastAsia="宋体" w:hAnsi="宋体"/>
          <w:b/>
          <w:bCs/>
          <w:sz w:val="32"/>
          <w:szCs w:val="32"/>
        </w:rPr>
      </w:pPr>
      <w:r w:rsidRPr="00A875EE">
        <w:rPr>
          <w:rFonts w:ascii="宋体" w:eastAsia="宋体" w:hAnsi="宋体" w:hint="eastAsia"/>
          <w:b/>
          <w:bCs/>
          <w:sz w:val="32"/>
          <w:szCs w:val="32"/>
        </w:rPr>
        <w:t>（二）上市目的</w:t>
      </w:r>
    </w:p>
    <w:p w14:paraId="643D1F6F" w14:textId="4C34D3D0" w:rsidR="00FC51DF" w:rsidRPr="00A875EE"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1.借助物泊科技，统筹整合兖矿能源物流资源。</w:t>
      </w:r>
    </w:p>
    <w:p w14:paraId="17EBE17C" w14:textId="7BC322A9" w:rsidR="00FC51DF" w:rsidRPr="00A875EE"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2.释放估值潜力，维护公司全体股东的长期利益。</w:t>
      </w:r>
    </w:p>
    <w:p w14:paraId="4F3604B3" w14:textId="17F060ED" w:rsidR="00FC51DF" w:rsidRPr="00A875EE"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3.助推战略转型，促进物泊科技业务长远发展。</w:t>
      </w:r>
    </w:p>
    <w:p w14:paraId="665F18C6" w14:textId="0815A0F0" w:rsidR="00FC51DF" w:rsidRPr="00A875EE"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4.提升规范治理，改进物流板块运营管理水平。</w:t>
      </w:r>
    </w:p>
    <w:p w14:paraId="22B1403B" w14:textId="40CBCE43" w:rsidR="009B0E79" w:rsidRPr="003114F7" w:rsidRDefault="00FC51DF" w:rsidP="00FC51DF">
      <w:pPr>
        <w:adjustRightInd w:val="0"/>
        <w:snapToGrid w:val="0"/>
        <w:spacing w:line="600" w:lineRule="exact"/>
        <w:ind w:firstLineChars="200" w:firstLine="640"/>
        <w:rPr>
          <w:rFonts w:ascii="宋体" w:eastAsia="宋体" w:hAnsi="宋体"/>
          <w:sz w:val="32"/>
          <w:szCs w:val="32"/>
        </w:rPr>
      </w:pPr>
      <w:r w:rsidRPr="00A875EE">
        <w:rPr>
          <w:rFonts w:ascii="宋体" w:eastAsia="宋体" w:hAnsi="宋体"/>
          <w:sz w:val="32"/>
          <w:szCs w:val="32"/>
        </w:rPr>
        <w:t>5.布局全球网络，推进“通江达海、物流全球”网络布局。</w:t>
      </w:r>
    </w:p>
    <w:sectPr w:rsidR="009B0E79" w:rsidRPr="003114F7" w:rsidSect="00AD612C">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9E6DD" w14:textId="77777777" w:rsidR="00320243" w:rsidRDefault="00320243" w:rsidP="00482F81">
      <w:r>
        <w:separator/>
      </w:r>
    </w:p>
  </w:endnote>
  <w:endnote w:type="continuationSeparator" w:id="0">
    <w:p w14:paraId="5A83DF95" w14:textId="77777777" w:rsidR="00320243" w:rsidRDefault="00320243" w:rsidP="00482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1"/>
    <w:family w:val="modern"/>
    <w:pitch w:val="default"/>
    <w:sig w:usb0="E0002EFF" w:usb1="C0007843"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409237"/>
      <w:docPartObj>
        <w:docPartGallery w:val="Page Numbers (Bottom of Page)"/>
        <w:docPartUnique/>
      </w:docPartObj>
    </w:sdtPr>
    <w:sdtEndPr/>
    <w:sdtContent>
      <w:p w14:paraId="5D45A900" w14:textId="17C98CAD" w:rsidR="006167B5" w:rsidRDefault="006167B5">
        <w:pPr>
          <w:pStyle w:val="a9"/>
          <w:jc w:val="center"/>
        </w:pPr>
        <w:r>
          <w:fldChar w:fldCharType="begin"/>
        </w:r>
        <w:r>
          <w:instrText>PAGE   \* MERGEFORMAT</w:instrText>
        </w:r>
        <w:r>
          <w:fldChar w:fldCharType="separate"/>
        </w:r>
        <w:r>
          <w:rPr>
            <w:lang w:val="zh-CN"/>
          </w:rPr>
          <w:t>2</w:t>
        </w:r>
        <w:r>
          <w:fldChar w:fldCharType="end"/>
        </w:r>
      </w:p>
    </w:sdtContent>
  </w:sdt>
  <w:p w14:paraId="4D67397B" w14:textId="77777777" w:rsidR="006167B5" w:rsidRDefault="006167B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5EE2" w14:textId="77777777" w:rsidR="00320243" w:rsidRDefault="00320243" w:rsidP="00482F81">
      <w:r>
        <w:separator/>
      </w:r>
    </w:p>
  </w:footnote>
  <w:footnote w:type="continuationSeparator" w:id="0">
    <w:p w14:paraId="2C263148" w14:textId="77777777" w:rsidR="00320243" w:rsidRDefault="00320243" w:rsidP="00482F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1902"/>
    <w:multiLevelType w:val="hybridMultilevel"/>
    <w:tmpl w:val="15CCBAD2"/>
    <w:lvl w:ilvl="0" w:tplc="7A8CA876">
      <w:start w:val="1"/>
      <w:numFmt w:val="chineseCountingThousand"/>
      <w:pStyle w:val="1"/>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46972"/>
    <w:multiLevelType w:val="hybridMultilevel"/>
    <w:tmpl w:val="054692BA"/>
    <w:lvl w:ilvl="0" w:tplc="5E36A434">
      <w:start w:val="1"/>
      <w:numFmt w:val="decimal"/>
      <w:suff w:val="nothing"/>
      <w:lvlText w:val="%1."/>
      <w:lvlJc w:val="left"/>
      <w:pPr>
        <w:ind w:left="1555"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15:restartNumberingAfterBreak="0">
    <w:nsid w:val="338A73E8"/>
    <w:multiLevelType w:val="multilevel"/>
    <w:tmpl w:val="70F046BA"/>
    <w:lvl w:ilvl="0">
      <w:start w:val="1"/>
      <w:numFmt w:val="chineseCountingThousand"/>
      <w:pStyle w:val="2"/>
      <w:suff w:val="nothing"/>
      <w:lvlText w:val="%1、"/>
      <w:lvlJc w:val="left"/>
      <w:pPr>
        <w:ind w:left="1130" w:hanging="420"/>
      </w:pPr>
      <w:rPr>
        <w:rFonts w:hint="eastAsia"/>
        <w:lang w:val="en-US"/>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15:restartNumberingAfterBreak="0">
    <w:nsid w:val="4BF1104E"/>
    <w:multiLevelType w:val="hybridMultilevel"/>
    <w:tmpl w:val="50B0CC0C"/>
    <w:lvl w:ilvl="0" w:tplc="8018AAD2">
      <w:start w:val="1"/>
      <w:numFmt w:val="decimal"/>
      <w:suff w:val="nothing"/>
      <w:lvlText w:val="%1."/>
      <w:lvlJc w:val="left"/>
      <w:pPr>
        <w:ind w:left="1063" w:hanging="420"/>
      </w:pPr>
      <w:rPr>
        <w:rFonts w:hint="eastAsia"/>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 w:numId="2">
    <w:abstractNumId w:val="1"/>
  </w:num>
  <w:num w:numId="3">
    <w:abstractNumId w:val="3"/>
  </w:num>
  <w:num w:numId="4">
    <w:abstractNumId w:val="0"/>
  </w:num>
  <w:num w:numId="5">
    <w:abstractNumId w:val="2"/>
  </w:num>
  <w:num w:numId="6">
    <w:abstractNumId w:val="2"/>
    <w:lvlOverride w:ilvl="0">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 w:numId="11">
    <w:abstractNumId w:val="0"/>
  </w:num>
  <w:num w:numId="12">
    <w:abstractNumId w:val="0"/>
  </w:num>
  <w:num w:numId="13">
    <w:abstractNumId w:val="0"/>
    <w:lvlOverride w:ilvl="0">
      <w:startOverride w:val="1"/>
    </w:lvlOverride>
  </w:num>
  <w:num w:numId="14">
    <w:abstractNumId w:val="0"/>
  </w:num>
  <w:num w:numId="15">
    <w:abstractNumId w:val="0"/>
    <w:lvlOverride w:ilvl="0">
      <w:startOverride w:val="1"/>
    </w:lvlOverride>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0"/>
  </w:num>
  <w:num w:numId="33">
    <w:abstractNumId w:val="0"/>
  </w:num>
  <w:num w:numId="34">
    <w:abstractNumId w:val="0"/>
    <w:lvlOverride w:ilvl="0">
      <w:startOverride w:val="1"/>
    </w:lvlOverride>
  </w:num>
  <w:num w:numId="35">
    <w:abstractNumId w:val="0"/>
  </w:num>
  <w:num w:numId="36">
    <w:abstractNumId w:val="0"/>
    <w:lvlOverride w:ilvl="0">
      <w:startOverride w:val="1"/>
    </w:lvlOverride>
  </w:num>
  <w:num w:numId="37">
    <w:abstractNumId w:val="0"/>
    <w:lvlOverride w:ilvl="0">
      <w:startOverride w:val="1"/>
    </w:lvlOverride>
  </w:num>
  <w:num w:numId="38">
    <w:abstractNumId w:val="0"/>
  </w:num>
  <w:num w:numId="39">
    <w:abstractNumId w:val="0"/>
  </w:num>
  <w:num w:numId="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966"/>
    <w:rsid w:val="0000209F"/>
    <w:rsid w:val="00006779"/>
    <w:rsid w:val="000110DF"/>
    <w:rsid w:val="00035137"/>
    <w:rsid w:val="000352E9"/>
    <w:rsid w:val="00040055"/>
    <w:rsid w:val="000413C7"/>
    <w:rsid w:val="0004303F"/>
    <w:rsid w:val="00046BF7"/>
    <w:rsid w:val="00062DEF"/>
    <w:rsid w:val="000747EE"/>
    <w:rsid w:val="000753DD"/>
    <w:rsid w:val="00081CAC"/>
    <w:rsid w:val="00082A09"/>
    <w:rsid w:val="00086E2E"/>
    <w:rsid w:val="0009179D"/>
    <w:rsid w:val="000923A0"/>
    <w:rsid w:val="000A1349"/>
    <w:rsid w:val="000A3AF5"/>
    <w:rsid w:val="000A72BD"/>
    <w:rsid w:val="000B4E67"/>
    <w:rsid w:val="000B625D"/>
    <w:rsid w:val="000D43BB"/>
    <w:rsid w:val="000D5F04"/>
    <w:rsid w:val="000E20D7"/>
    <w:rsid w:val="000E65E2"/>
    <w:rsid w:val="000F2DAA"/>
    <w:rsid w:val="001135AE"/>
    <w:rsid w:val="00113701"/>
    <w:rsid w:val="001175BF"/>
    <w:rsid w:val="00120966"/>
    <w:rsid w:val="00130FFE"/>
    <w:rsid w:val="001341EE"/>
    <w:rsid w:val="001360C3"/>
    <w:rsid w:val="0014314C"/>
    <w:rsid w:val="00151749"/>
    <w:rsid w:val="00151E69"/>
    <w:rsid w:val="0017047E"/>
    <w:rsid w:val="00194294"/>
    <w:rsid w:val="00196D6A"/>
    <w:rsid w:val="001B2D9F"/>
    <w:rsid w:val="001B326F"/>
    <w:rsid w:val="001E0A32"/>
    <w:rsid w:val="001E4C35"/>
    <w:rsid w:val="00213C2A"/>
    <w:rsid w:val="0021465C"/>
    <w:rsid w:val="00221BEE"/>
    <w:rsid w:val="00224FF0"/>
    <w:rsid w:val="00252011"/>
    <w:rsid w:val="00252E1B"/>
    <w:rsid w:val="00255378"/>
    <w:rsid w:val="00257929"/>
    <w:rsid w:val="002621E6"/>
    <w:rsid w:val="00262C05"/>
    <w:rsid w:val="00262DA7"/>
    <w:rsid w:val="00274A68"/>
    <w:rsid w:val="00274AC2"/>
    <w:rsid w:val="00275CF7"/>
    <w:rsid w:val="00276BD2"/>
    <w:rsid w:val="0027770A"/>
    <w:rsid w:val="0028003F"/>
    <w:rsid w:val="002852B4"/>
    <w:rsid w:val="00285492"/>
    <w:rsid w:val="002A79C6"/>
    <w:rsid w:val="002A7D71"/>
    <w:rsid w:val="002B6170"/>
    <w:rsid w:val="002C23B3"/>
    <w:rsid w:val="002D5A25"/>
    <w:rsid w:val="002D614F"/>
    <w:rsid w:val="002E1096"/>
    <w:rsid w:val="002E3701"/>
    <w:rsid w:val="002F4B3A"/>
    <w:rsid w:val="002F7D2D"/>
    <w:rsid w:val="00305D38"/>
    <w:rsid w:val="0030608B"/>
    <w:rsid w:val="003114F7"/>
    <w:rsid w:val="00320243"/>
    <w:rsid w:val="003528B3"/>
    <w:rsid w:val="003626D6"/>
    <w:rsid w:val="00364396"/>
    <w:rsid w:val="00367A5D"/>
    <w:rsid w:val="003724F0"/>
    <w:rsid w:val="00385E38"/>
    <w:rsid w:val="00387099"/>
    <w:rsid w:val="003A044C"/>
    <w:rsid w:val="003A1437"/>
    <w:rsid w:val="003A401D"/>
    <w:rsid w:val="003D2C3B"/>
    <w:rsid w:val="003F5E84"/>
    <w:rsid w:val="004205EA"/>
    <w:rsid w:val="00424176"/>
    <w:rsid w:val="004270BF"/>
    <w:rsid w:val="00427D5E"/>
    <w:rsid w:val="00444067"/>
    <w:rsid w:val="00454D93"/>
    <w:rsid w:val="00456ED7"/>
    <w:rsid w:val="0047410B"/>
    <w:rsid w:val="0048037F"/>
    <w:rsid w:val="00482F81"/>
    <w:rsid w:val="004844EC"/>
    <w:rsid w:val="004944E2"/>
    <w:rsid w:val="004B0878"/>
    <w:rsid w:val="004B7F9A"/>
    <w:rsid w:val="004C4EBB"/>
    <w:rsid w:val="004E35E3"/>
    <w:rsid w:val="00500376"/>
    <w:rsid w:val="00513F31"/>
    <w:rsid w:val="005503EB"/>
    <w:rsid w:val="005535CF"/>
    <w:rsid w:val="00560624"/>
    <w:rsid w:val="005636B1"/>
    <w:rsid w:val="00580A34"/>
    <w:rsid w:val="00585350"/>
    <w:rsid w:val="005A0559"/>
    <w:rsid w:val="005B3B5D"/>
    <w:rsid w:val="005B57B2"/>
    <w:rsid w:val="005B7ECD"/>
    <w:rsid w:val="005D6B0A"/>
    <w:rsid w:val="005E02C5"/>
    <w:rsid w:val="005F1DDE"/>
    <w:rsid w:val="005F5503"/>
    <w:rsid w:val="00613F28"/>
    <w:rsid w:val="00615C9D"/>
    <w:rsid w:val="006167B5"/>
    <w:rsid w:val="006302DA"/>
    <w:rsid w:val="0063157F"/>
    <w:rsid w:val="00642123"/>
    <w:rsid w:val="00650708"/>
    <w:rsid w:val="006542BC"/>
    <w:rsid w:val="00655C68"/>
    <w:rsid w:val="00663523"/>
    <w:rsid w:val="006802B3"/>
    <w:rsid w:val="00685DE5"/>
    <w:rsid w:val="00692287"/>
    <w:rsid w:val="00694021"/>
    <w:rsid w:val="006A32A1"/>
    <w:rsid w:val="006A7141"/>
    <w:rsid w:val="006A77F6"/>
    <w:rsid w:val="006B2428"/>
    <w:rsid w:val="006B6500"/>
    <w:rsid w:val="006C311D"/>
    <w:rsid w:val="006D001E"/>
    <w:rsid w:val="006D7DC8"/>
    <w:rsid w:val="006E1E60"/>
    <w:rsid w:val="006F1F23"/>
    <w:rsid w:val="0070020A"/>
    <w:rsid w:val="00724C7F"/>
    <w:rsid w:val="007269F5"/>
    <w:rsid w:val="007274D0"/>
    <w:rsid w:val="00735EF8"/>
    <w:rsid w:val="00740FAE"/>
    <w:rsid w:val="00743E30"/>
    <w:rsid w:val="00746776"/>
    <w:rsid w:val="00755571"/>
    <w:rsid w:val="00762982"/>
    <w:rsid w:val="0076723F"/>
    <w:rsid w:val="0078142B"/>
    <w:rsid w:val="00793706"/>
    <w:rsid w:val="00796090"/>
    <w:rsid w:val="007A0ACB"/>
    <w:rsid w:val="007B5CED"/>
    <w:rsid w:val="007B7EE0"/>
    <w:rsid w:val="007E2F18"/>
    <w:rsid w:val="007E6FA3"/>
    <w:rsid w:val="007F4187"/>
    <w:rsid w:val="008045FC"/>
    <w:rsid w:val="008059C7"/>
    <w:rsid w:val="00807C2E"/>
    <w:rsid w:val="00822C7A"/>
    <w:rsid w:val="00823F06"/>
    <w:rsid w:val="00830D8E"/>
    <w:rsid w:val="00835EC7"/>
    <w:rsid w:val="00837B14"/>
    <w:rsid w:val="00841FA1"/>
    <w:rsid w:val="008426E1"/>
    <w:rsid w:val="008567BB"/>
    <w:rsid w:val="00857812"/>
    <w:rsid w:val="00857FED"/>
    <w:rsid w:val="008814C0"/>
    <w:rsid w:val="0089660A"/>
    <w:rsid w:val="008A14F4"/>
    <w:rsid w:val="008A4D59"/>
    <w:rsid w:val="008B07C9"/>
    <w:rsid w:val="008B7149"/>
    <w:rsid w:val="008C1229"/>
    <w:rsid w:val="008C2573"/>
    <w:rsid w:val="008C6BF8"/>
    <w:rsid w:val="008E5F8D"/>
    <w:rsid w:val="00902249"/>
    <w:rsid w:val="0094036E"/>
    <w:rsid w:val="009427E6"/>
    <w:rsid w:val="00955996"/>
    <w:rsid w:val="009573A2"/>
    <w:rsid w:val="0097550D"/>
    <w:rsid w:val="00980FAB"/>
    <w:rsid w:val="00981DC9"/>
    <w:rsid w:val="00982817"/>
    <w:rsid w:val="009848AE"/>
    <w:rsid w:val="00992505"/>
    <w:rsid w:val="00992F9C"/>
    <w:rsid w:val="009A493A"/>
    <w:rsid w:val="009B0E79"/>
    <w:rsid w:val="009B2A4B"/>
    <w:rsid w:val="009B7CDD"/>
    <w:rsid w:val="009C1E3E"/>
    <w:rsid w:val="009D6264"/>
    <w:rsid w:val="009D6D0A"/>
    <w:rsid w:val="009E0637"/>
    <w:rsid w:val="009E3B69"/>
    <w:rsid w:val="009E6A11"/>
    <w:rsid w:val="009F2A3A"/>
    <w:rsid w:val="00A0251B"/>
    <w:rsid w:val="00A02D43"/>
    <w:rsid w:val="00A25210"/>
    <w:rsid w:val="00A54196"/>
    <w:rsid w:val="00A655DF"/>
    <w:rsid w:val="00A65A8F"/>
    <w:rsid w:val="00A72AA0"/>
    <w:rsid w:val="00A81CFF"/>
    <w:rsid w:val="00A875EE"/>
    <w:rsid w:val="00A91F4A"/>
    <w:rsid w:val="00A9364B"/>
    <w:rsid w:val="00A9530D"/>
    <w:rsid w:val="00AC2D0D"/>
    <w:rsid w:val="00AD0454"/>
    <w:rsid w:val="00AD612C"/>
    <w:rsid w:val="00AF1578"/>
    <w:rsid w:val="00AF2F56"/>
    <w:rsid w:val="00AF6D36"/>
    <w:rsid w:val="00B0435B"/>
    <w:rsid w:val="00B0452C"/>
    <w:rsid w:val="00B15ECA"/>
    <w:rsid w:val="00B17ADD"/>
    <w:rsid w:val="00B35571"/>
    <w:rsid w:val="00B445CB"/>
    <w:rsid w:val="00B545A8"/>
    <w:rsid w:val="00B61EAA"/>
    <w:rsid w:val="00B64476"/>
    <w:rsid w:val="00B730B5"/>
    <w:rsid w:val="00B736CD"/>
    <w:rsid w:val="00B86313"/>
    <w:rsid w:val="00B923C2"/>
    <w:rsid w:val="00B93F69"/>
    <w:rsid w:val="00BA2A40"/>
    <w:rsid w:val="00BA688C"/>
    <w:rsid w:val="00BB0CC7"/>
    <w:rsid w:val="00BC2C8A"/>
    <w:rsid w:val="00BD486B"/>
    <w:rsid w:val="00BE40B3"/>
    <w:rsid w:val="00BF3339"/>
    <w:rsid w:val="00C0409B"/>
    <w:rsid w:val="00C12BEE"/>
    <w:rsid w:val="00C47525"/>
    <w:rsid w:val="00C532B9"/>
    <w:rsid w:val="00C668D2"/>
    <w:rsid w:val="00C70F59"/>
    <w:rsid w:val="00C74FC2"/>
    <w:rsid w:val="00C90D79"/>
    <w:rsid w:val="00C969B4"/>
    <w:rsid w:val="00CA2749"/>
    <w:rsid w:val="00CB713C"/>
    <w:rsid w:val="00CD0B99"/>
    <w:rsid w:val="00CD1762"/>
    <w:rsid w:val="00CF191C"/>
    <w:rsid w:val="00CF4103"/>
    <w:rsid w:val="00CF6EE9"/>
    <w:rsid w:val="00D05A85"/>
    <w:rsid w:val="00D1263B"/>
    <w:rsid w:val="00D14F02"/>
    <w:rsid w:val="00D344EF"/>
    <w:rsid w:val="00D45064"/>
    <w:rsid w:val="00D528C0"/>
    <w:rsid w:val="00D539BC"/>
    <w:rsid w:val="00D56BAF"/>
    <w:rsid w:val="00D57658"/>
    <w:rsid w:val="00D73349"/>
    <w:rsid w:val="00D814C6"/>
    <w:rsid w:val="00D87267"/>
    <w:rsid w:val="00D97D0B"/>
    <w:rsid w:val="00DA0CDC"/>
    <w:rsid w:val="00DA1BFE"/>
    <w:rsid w:val="00DE4F4C"/>
    <w:rsid w:val="00DE730D"/>
    <w:rsid w:val="00DF435E"/>
    <w:rsid w:val="00DF5CF8"/>
    <w:rsid w:val="00E01673"/>
    <w:rsid w:val="00E03376"/>
    <w:rsid w:val="00E04297"/>
    <w:rsid w:val="00E0701B"/>
    <w:rsid w:val="00E21600"/>
    <w:rsid w:val="00E30A5D"/>
    <w:rsid w:val="00E3491C"/>
    <w:rsid w:val="00E37E6C"/>
    <w:rsid w:val="00E64FA8"/>
    <w:rsid w:val="00E83B5E"/>
    <w:rsid w:val="00E85BAC"/>
    <w:rsid w:val="00E8764A"/>
    <w:rsid w:val="00E90726"/>
    <w:rsid w:val="00E9217F"/>
    <w:rsid w:val="00E939B9"/>
    <w:rsid w:val="00E97106"/>
    <w:rsid w:val="00EB06F0"/>
    <w:rsid w:val="00EB19DE"/>
    <w:rsid w:val="00EC7C09"/>
    <w:rsid w:val="00ED02F5"/>
    <w:rsid w:val="00ED41A0"/>
    <w:rsid w:val="00ED5608"/>
    <w:rsid w:val="00EE18E7"/>
    <w:rsid w:val="00EE7BC4"/>
    <w:rsid w:val="00EF0866"/>
    <w:rsid w:val="00EF0AD4"/>
    <w:rsid w:val="00EF25D3"/>
    <w:rsid w:val="00F05266"/>
    <w:rsid w:val="00F237D3"/>
    <w:rsid w:val="00F242C9"/>
    <w:rsid w:val="00F4313C"/>
    <w:rsid w:val="00F557B8"/>
    <w:rsid w:val="00F57BEF"/>
    <w:rsid w:val="00F62336"/>
    <w:rsid w:val="00F64956"/>
    <w:rsid w:val="00F65032"/>
    <w:rsid w:val="00F666F5"/>
    <w:rsid w:val="00F85375"/>
    <w:rsid w:val="00F85810"/>
    <w:rsid w:val="00F9308E"/>
    <w:rsid w:val="00FA5C2F"/>
    <w:rsid w:val="00FC51DF"/>
    <w:rsid w:val="00F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7DF48"/>
  <w15:chartTrackingRefBased/>
  <w15:docId w15:val="{08597004-8157-4492-B413-2ACA097D8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25D3"/>
    <w:pPr>
      <w:numPr>
        <w:numId w:val="4"/>
      </w:numPr>
      <w:snapToGrid w:val="0"/>
      <w:spacing w:beforeLines="50" w:before="50" w:afterLines="50" w:after="50" w:line="560" w:lineRule="exact"/>
      <w:outlineLvl w:val="0"/>
    </w:pPr>
    <w:rPr>
      <w:rFonts w:ascii="宋体" w:eastAsia="宋体" w:hAnsi="宋体"/>
      <w:b/>
      <w:sz w:val="32"/>
      <w:szCs w:val="32"/>
    </w:rPr>
  </w:style>
  <w:style w:type="paragraph" w:styleId="2">
    <w:name w:val="heading 2"/>
    <w:basedOn w:val="a"/>
    <w:next w:val="a"/>
    <w:link w:val="20"/>
    <w:uiPriority w:val="9"/>
    <w:unhideWhenUsed/>
    <w:qFormat/>
    <w:rsid w:val="006A32A1"/>
    <w:pPr>
      <w:numPr>
        <w:numId w:val="5"/>
      </w:numPr>
      <w:adjustRightInd w:val="0"/>
      <w:ind w:left="620" w:firstLine="0"/>
      <w:outlineLvl w:val="1"/>
    </w:pPr>
    <w:rPr>
      <w:rFonts w:ascii="黑体" w:eastAsia="黑体"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0559"/>
    <w:rPr>
      <w:rFonts w:ascii="宋体" w:eastAsia="宋体" w:hAnsi="Courier New" w:cs="Courier New"/>
      <w:szCs w:val="21"/>
    </w:rPr>
  </w:style>
  <w:style w:type="character" w:customStyle="1" w:styleId="a4">
    <w:name w:val="纯文本 字符"/>
    <w:basedOn w:val="a0"/>
    <w:link w:val="a3"/>
    <w:rsid w:val="005A0559"/>
    <w:rPr>
      <w:rFonts w:ascii="宋体" w:eastAsia="宋体" w:hAnsi="Courier New" w:cs="Courier New"/>
      <w:szCs w:val="21"/>
    </w:rPr>
  </w:style>
  <w:style w:type="paragraph" w:styleId="a5">
    <w:name w:val="Balloon Text"/>
    <w:basedOn w:val="a"/>
    <w:link w:val="a6"/>
    <w:uiPriority w:val="99"/>
    <w:semiHidden/>
    <w:unhideWhenUsed/>
    <w:rsid w:val="000747EE"/>
    <w:rPr>
      <w:sz w:val="18"/>
      <w:szCs w:val="18"/>
    </w:rPr>
  </w:style>
  <w:style w:type="character" w:customStyle="1" w:styleId="a6">
    <w:name w:val="批注框文本 字符"/>
    <w:basedOn w:val="a0"/>
    <w:link w:val="a5"/>
    <w:uiPriority w:val="99"/>
    <w:semiHidden/>
    <w:rsid w:val="000747EE"/>
    <w:rPr>
      <w:sz w:val="18"/>
      <w:szCs w:val="18"/>
    </w:rPr>
  </w:style>
  <w:style w:type="character" w:customStyle="1" w:styleId="10">
    <w:name w:val="标题 1 字符"/>
    <w:basedOn w:val="a0"/>
    <w:link w:val="1"/>
    <w:uiPriority w:val="9"/>
    <w:rsid w:val="00EF25D3"/>
    <w:rPr>
      <w:rFonts w:ascii="宋体" w:eastAsia="宋体" w:hAnsi="宋体"/>
      <w:b/>
      <w:sz w:val="32"/>
      <w:szCs w:val="32"/>
    </w:rPr>
  </w:style>
  <w:style w:type="character" w:customStyle="1" w:styleId="20">
    <w:name w:val="标题 2 字符"/>
    <w:basedOn w:val="a0"/>
    <w:link w:val="2"/>
    <w:uiPriority w:val="9"/>
    <w:rsid w:val="006A32A1"/>
    <w:rPr>
      <w:rFonts w:ascii="黑体" w:eastAsia="黑体" w:hAnsiTheme="majorHAnsi" w:cstheme="majorBidi"/>
      <w:bCs/>
      <w:sz w:val="32"/>
      <w:szCs w:val="32"/>
    </w:rPr>
  </w:style>
  <w:style w:type="paragraph" w:styleId="a7">
    <w:name w:val="header"/>
    <w:basedOn w:val="a"/>
    <w:link w:val="a8"/>
    <w:uiPriority w:val="99"/>
    <w:unhideWhenUsed/>
    <w:rsid w:val="00482F8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82F81"/>
    <w:rPr>
      <w:sz w:val="18"/>
      <w:szCs w:val="18"/>
    </w:rPr>
  </w:style>
  <w:style w:type="paragraph" w:styleId="a9">
    <w:name w:val="footer"/>
    <w:basedOn w:val="a"/>
    <w:link w:val="aa"/>
    <w:uiPriority w:val="99"/>
    <w:unhideWhenUsed/>
    <w:rsid w:val="00482F81"/>
    <w:pPr>
      <w:tabs>
        <w:tab w:val="center" w:pos="4153"/>
        <w:tab w:val="right" w:pos="8306"/>
      </w:tabs>
      <w:snapToGrid w:val="0"/>
      <w:jc w:val="left"/>
    </w:pPr>
    <w:rPr>
      <w:sz w:val="18"/>
      <w:szCs w:val="18"/>
    </w:rPr>
  </w:style>
  <w:style w:type="character" w:customStyle="1" w:styleId="aa">
    <w:name w:val="页脚 字符"/>
    <w:basedOn w:val="a0"/>
    <w:link w:val="a9"/>
    <w:uiPriority w:val="99"/>
    <w:rsid w:val="00482F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39DAF-9B87-4B6B-811C-78F3F78B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7</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晨</dc:creator>
  <cp:keywords/>
  <dc:description/>
  <cp:lastModifiedBy>Tian</cp:lastModifiedBy>
  <cp:revision>138</cp:revision>
  <cp:lastPrinted>2026-04-01T08:21:00Z</cp:lastPrinted>
  <dcterms:created xsi:type="dcterms:W3CDTF">2023-03-29T01:05:00Z</dcterms:created>
  <dcterms:modified xsi:type="dcterms:W3CDTF">2026-04-01T08:25:00Z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2" name="5B77E7CEEC58BC6AFAE8886BEB80DBEB">
    <vt:lpwstr>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</vt:lpwstr>
  </property>
</Properties>
</file>