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11C62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证券代码：</w:t>
      </w:r>
      <w:r>
        <w:rPr>
          <w:rFonts w:ascii="宋体" w:hAnsi="宋体" w:eastAsia="宋体"/>
          <w:sz w:val="24"/>
          <w:szCs w:val="24"/>
        </w:rPr>
        <w:t xml:space="preserve">600332                                     </w:t>
      </w:r>
      <w:r>
        <w:rPr>
          <w:rFonts w:hint="eastAsia" w:ascii="宋体" w:hAnsi="宋体" w:eastAsia="宋体"/>
          <w:sz w:val="24"/>
          <w:szCs w:val="24"/>
        </w:rPr>
        <w:t>证券简称：白云山</w:t>
      </w:r>
    </w:p>
    <w:p w14:paraId="127F6F20">
      <w:pPr>
        <w:rPr>
          <w:rFonts w:ascii="宋体" w:hAnsi="宋体" w:eastAsia="宋体"/>
          <w:sz w:val="24"/>
          <w:szCs w:val="24"/>
        </w:rPr>
      </w:pPr>
    </w:p>
    <w:p w14:paraId="65BCB62A">
      <w:pPr>
        <w:jc w:val="center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广州白云山医药集团股份有限公司</w:t>
      </w:r>
    </w:p>
    <w:p w14:paraId="27289ED4">
      <w:pPr>
        <w:jc w:val="center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投资者关系活动记录表</w:t>
      </w:r>
    </w:p>
    <w:p w14:paraId="35A40147">
      <w:pPr>
        <w:rPr>
          <w:rFonts w:ascii="宋体" w:hAnsi="宋体" w:eastAsia="宋体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 w14:paraId="4A24A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696" w:type="dxa"/>
            <w:vAlign w:val="center"/>
          </w:tcPr>
          <w:p w14:paraId="0E6775B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投资者关系活动类别</w:t>
            </w:r>
          </w:p>
        </w:tc>
        <w:tc>
          <w:tcPr>
            <w:tcW w:w="6600" w:type="dxa"/>
          </w:tcPr>
          <w:p w14:paraId="085E8532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sym w:font="Wingdings 2" w:char="0052"/>
            </w:r>
            <w:r>
              <w:rPr>
                <w:rFonts w:ascii="宋体" w:hAnsi="宋体" w:eastAsia="宋体"/>
                <w:sz w:val="24"/>
                <w:szCs w:val="24"/>
              </w:rPr>
              <w:t xml:space="preserve">特定对象调研 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0052"/>
            </w:r>
            <w:r>
              <w:rPr>
                <w:rFonts w:ascii="宋体" w:hAnsi="宋体" w:eastAsia="宋体"/>
                <w:sz w:val="24"/>
                <w:szCs w:val="24"/>
              </w:rPr>
              <w:t xml:space="preserve">分析师会议 </w:t>
            </w:r>
          </w:p>
          <w:p w14:paraId="06C7171F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/>
                <w:sz w:val="24"/>
                <w:szCs w:val="24"/>
              </w:rPr>
              <w:t xml:space="preserve">媒体采访 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/>
                <w:sz w:val="24"/>
                <w:szCs w:val="24"/>
              </w:rPr>
              <w:t xml:space="preserve">业绩说明会 </w:t>
            </w:r>
          </w:p>
          <w:p w14:paraId="22D3BE0A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□新闻发布会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/>
                <w:sz w:val="24"/>
                <w:szCs w:val="24"/>
              </w:rPr>
              <w:t xml:space="preserve">路演活动 </w:t>
            </w:r>
          </w:p>
          <w:p w14:paraId="5CE86780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sym w:font="Wingdings 2" w:char="0052"/>
            </w:r>
            <w:r>
              <w:rPr>
                <w:rFonts w:ascii="宋体" w:hAnsi="宋体" w:eastAsia="宋体"/>
                <w:sz w:val="24"/>
                <w:szCs w:val="24"/>
              </w:rPr>
              <w:t>现场参观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/>
                <w:sz w:val="24"/>
                <w:szCs w:val="24"/>
              </w:rPr>
              <w:t>其他</w:t>
            </w:r>
          </w:p>
        </w:tc>
      </w:tr>
      <w:tr w14:paraId="0239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5E5F811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召开方式</w:t>
            </w:r>
          </w:p>
        </w:tc>
        <w:tc>
          <w:tcPr>
            <w:tcW w:w="6600" w:type="dxa"/>
          </w:tcPr>
          <w:p w14:paraId="2F42643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现场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线上会议</w:t>
            </w:r>
          </w:p>
        </w:tc>
      </w:tr>
      <w:tr w14:paraId="3935C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5955FDB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6600" w:type="dxa"/>
          </w:tcPr>
          <w:p w14:paraId="36786B79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3月1日至3月31日</w:t>
            </w:r>
          </w:p>
        </w:tc>
      </w:tr>
      <w:tr w14:paraId="18EA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181ECF8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地点</w:t>
            </w:r>
          </w:p>
        </w:tc>
        <w:tc>
          <w:tcPr>
            <w:tcW w:w="6600" w:type="dxa"/>
          </w:tcPr>
          <w:p w14:paraId="3FC3FCF1">
            <w:pPr>
              <w:spacing w:line="360" w:lineRule="auto"/>
              <w:rPr>
                <w:rFonts w:ascii="宋体" w:hAnsi="宋体" w:eastAsia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交流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场地会议室、公司会议室</w:t>
            </w:r>
          </w:p>
        </w:tc>
      </w:tr>
      <w:tr w14:paraId="3845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96" w:type="dxa"/>
            <w:vAlign w:val="center"/>
          </w:tcPr>
          <w:p w14:paraId="339140B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公司参与人员</w:t>
            </w:r>
          </w:p>
        </w:tc>
        <w:tc>
          <w:tcPr>
            <w:tcW w:w="6600" w:type="dxa"/>
          </w:tcPr>
          <w:p w14:paraId="071A9704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执行董事兼总经理黎洪，董事会秘书黄雪贞，董秘室副主任陈文霞，董秘</w:t>
            </w:r>
            <w:bookmarkStart w:id="6" w:name="_GoBack"/>
            <w:bookmarkEnd w:id="6"/>
            <w:r>
              <w:rPr>
                <w:rFonts w:hint="eastAsia" w:ascii="宋体" w:hAnsi="宋体" w:eastAsia="宋体"/>
                <w:sz w:val="24"/>
                <w:szCs w:val="24"/>
              </w:rPr>
              <w:t>室经理郭云倩、李春瑶、杨超文</w:t>
            </w:r>
          </w:p>
        </w:tc>
      </w:tr>
      <w:tr w14:paraId="39CA6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96" w:type="dxa"/>
            <w:vAlign w:val="center"/>
          </w:tcPr>
          <w:p w14:paraId="6C1FA35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Hans"/>
              </w:rPr>
              <w:t>接待人员</w:t>
            </w:r>
          </w:p>
        </w:tc>
        <w:tc>
          <w:tcPr>
            <w:tcW w:w="6600" w:type="dxa"/>
          </w:tcPr>
          <w:p w14:paraId="24593BF3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3月24日：中金公司、汇添富基金、富国基金、中欧基金、交银施罗德基金</w:t>
            </w:r>
          </w:p>
          <w:p w14:paraId="0C8246D0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3月25日：国联基金</w:t>
            </w:r>
          </w:p>
          <w:p w14:paraId="49332A39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3月26日：中金公司、新华资产、国联基金、工银瑞信</w:t>
            </w:r>
          </w:p>
          <w:p w14:paraId="08F472A1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3月27日：中信建投、泰康资产、新华资产、长盛基金、农银人寿</w:t>
            </w:r>
          </w:p>
          <w:p w14:paraId="2D513D85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3月30日：西部证券</w:t>
            </w:r>
          </w:p>
        </w:tc>
      </w:tr>
      <w:tr w14:paraId="20F58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696" w:type="dxa"/>
            <w:vAlign w:val="center"/>
          </w:tcPr>
          <w:p w14:paraId="616F96A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投资者关系活动主要内容介绍</w:t>
            </w:r>
          </w:p>
        </w:tc>
        <w:tc>
          <w:tcPr>
            <w:tcW w:w="6600" w:type="dxa"/>
          </w:tcPr>
          <w:p w14:paraId="64015FF5">
            <w:pPr>
              <w:widowControl/>
              <w:spacing w:line="500" w:lineRule="exact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主要内容包括：</w:t>
            </w:r>
          </w:p>
          <w:p w14:paraId="7CC2B05C">
            <w:pPr>
              <w:pStyle w:val="2"/>
              <w:spacing w:line="500" w:lineRule="exact"/>
              <w:ind w:firstLine="482" w:firstLineChars="20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bookmarkStart w:id="0" w:name="OLE_LINK7"/>
            <w:bookmarkStart w:id="1" w:name="OLE_LINK8"/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  <w:t>（一）公司2025年经营业绩情况如何？</w:t>
            </w:r>
          </w:p>
          <w:p w14:paraId="5256482E">
            <w:pPr>
              <w:pStyle w:val="2"/>
              <w:spacing w:line="5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bookmarkStart w:id="2" w:name="OLE_LINK4"/>
            <w:bookmarkStart w:id="3" w:name="OLE_LINK3"/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答：</w:t>
            </w:r>
            <w:bookmarkStart w:id="4" w:name="OLE_LINK5"/>
            <w:bookmarkStart w:id="5" w:name="OLE_LINK6"/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2025年，公司</w:t>
            </w:r>
            <w:bookmarkEnd w:id="0"/>
            <w:bookmarkEnd w:id="1"/>
            <w:bookmarkEnd w:id="2"/>
            <w:bookmarkEnd w:id="3"/>
            <w:bookmarkEnd w:id="4"/>
            <w:bookmarkEnd w:id="5"/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依托产业优势，充分挖掘自身资源与资产，全面推进生产经营各项工作，推动业务持续稳定增长，全年实现营业收入约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 w:bidi="ar"/>
              </w:rPr>
              <w:t>为人民币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776.56亿元，同比增长3.55%；利润总额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 w:bidi="ar"/>
              </w:rPr>
              <w:t>约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为人民币36.9亿元，同比增长2.28%；归属于本公司股东的净利润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 w:bidi="ar"/>
              </w:rPr>
              <w:t>约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为人民币29.83亿元，同比增长5.21%。</w:t>
            </w:r>
          </w:p>
          <w:p w14:paraId="2F3BB3A2">
            <w:pPr>
              <w:pStyle w:val="2"/>
              <w:spacing w:line="5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</w:p>
          <w:p w14:paraId="00DB46CC">
            <w:pPr>
              <w:pStyle w:val="2"/>
              <w:spacing w:line="500" w:lineRule="exact"/>
              <w:ind w:firstLine="482" w:firstLineChars="200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  <w:t>（二）与以往年报相比，公司2025年报中关于业务的表述有所不同，这是因为什么？</w:t>
            </w:r>
          </w:p>
          <w:p w14:paraId="5453860B">
            <w:pPr>
              <w:pStyle w:val="2"/>
              <w:spacing w:line="5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答：为贯彻落实公司“十五五”战略发展规划，围绕现代化、科技化、数字化、国际化发展方向，公司进一步明晰产业定位、优化业务结构、强化资源统筹与板块分类管理，以更加精准、完整地反映公司现代中药、化药科技、天然饮品、医药商业等四大基石业务及相关板块发展情况，相关统计数据亦相应予以调整。</w:t>
            </w:r>
          </w:p>
          <w:p w14:paraId="3D25F59D">
            <w:pPr>
              <w:pStyle w:val="2"/>
              <w:spacing w:line="500" w:lineRule="exact"/>
              <w:ind w:firstLine="482" w:firstLineChars="200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698B777C">
            <w:pPr>
              <w:pStyle w:val="2"/>
              <w:spacing w:line="500" w:lineRule="exact"/>
              <w:ind w:firstLine="482" w:firstLineChars="20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  <w:t>（三）2025年，公司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  <w:t>经营活动产生的现金流量净额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  <w:t>同比下降的原因是什么？</w:t>
            </w:r>
          </w:p>
          <w:p w14:paraId="0AD884AE">
            <w:pPr>
              <w:pStyle w:val="2"/>
              <w:spacing w:line="5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答：2025年，公司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bidi="ar"/>
              </w:rPr>
              <w:t>经营活动产生的现金流量净额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同比下降主要是因为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bidi="ar"/>
              </w:rPr>
              <w:t>公司下属企业货款回收有所下降，同时采购支付金额增加。</w:t>
            </w:r>
          </w:p>
          <w:p w14:paraId="5E504DD7">
            <w:pPr>
              <w:pStyle w:val="2"/>
              <w:spacing w:line="500" w:lineRule="exact"/>
              <w:ind w:firstLine="0" w:firstLineChars="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</w:p>
          <w:p w14:paraId="7E312E88">
            <w:pPr>
              <w:pStyle w:val="2"/>
              <w:spacing w:line="500" w:lineRule="exact"/>
              <w:ind w:firstLine="482" w:firstLineChars="200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四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  <w:t>）公司对“十五五”有何规划？</w:t>
            </w:r>
          </w:p>
          <w:p w14:paraId="5083AC47">
            <w:pPr>
              <w:pStyle w:val="2"/>
              <w:spacing w:line="5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答：未来五年，公司将坚持现代化、科技化、数字化、国际化发展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bidi="ar"/>
              </w:rPr>
              <w:t>方向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，在推动现代中药、化药科技、天然饮品、医药商业四大基石业务板块提质增效的同时，积蓄动能，培育促进消费健康、生物创新、医疗服务等业务发展，推动公司实现高质量发展。</w:t>
            </w:r>
          </w:p>
          <w:p w14:paraId="68272487">
            <w:pPr>
              <w:pStyle w:val="2"/>
              <w:spacing w:line="5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</w:p>
          <w:p w14:paraId="5C3B4A4C">
            <w:pPr>
              <w:pStyle w:val="2"/>
              <w:spacing w:line="500" w:lineRule="exact"/>
              <w:ind w:firstLine="482" w:firstLineChars="200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五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  <w:t>）未来公司研发创新将重点投入哪些方面？有何规划？</w:t>
            </w:r>
          </w:p>
          <w:p w14:paraId="7D329146">
            <w:pPr>
              <w:pStyle w:val="2"/>
              <w:spacing w:line="5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答：公司将进一步加大研发投入，推动创新转型，依托六大创新平台，加速推进抗肿瘤、抗感染、妇科、男科、儿科、外用药、医疗营养保健领域等项目研发进程与新药上市进度；同时围绕呼吸、慢病、肿瘤、生殖等核心治疗领域，筛选适配公司发展的科研项目，进一步丰富潜在项目储备，为创新管线提供重要支撑。此外，公司将持续引进全球研发人才，不断增强公司科研团队实力，同时进一步优化创新体制机制，完善考核评价体系，健全容错纠错机制，实施多元激励。</w:t>
            </w:r>
          </w:p>
          <w:p w14:paraId="7AA6EEA4">
            <w:pPr>
              <w:pStyle w:val="2"/>
              <w:spacing w:line="5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</w:p>
          <w:p w14:paraId="02D9E270">
            <w:pPr>
              <w:pStyle w:val="2"/>
              <w:spacing w:line="500" w:lineRule="exact"/>
              <w:ind w:firstLine="482" w:firstLineChars="200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六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  <w:t>）2025年，公司现代中药、化药科技主营业务收入同比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  <w:t>略有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  <w:t>下滑的原因是什么？未来，公司对制药业务有何规划？</w:t>
            </w:r>
          </w:p>
          <w:p w14:paraId="5BA948A2">
            <w:pPr>
              <w:pStyle w:val="2"/>
              <w:spacing w:line="5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答：受市场需求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bidi="ar"/>
              </w:rPr>
              <w:t>阶段性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不足以及竞争加剧等因素影响，公司现代中药、化药科技业务主要产品，如金戈、注射用头孢呋辛钠、小柴胡颗粒等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 w:bidi="ar"/>
              </w:rPr>
              <w:t>仍有一定销售压力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，现代中药、化药科技主营业务收入同比有所下滑。</w:t>
            </w:r>
          </w:p>
          <w:p w14:paraId="2E849904">
            <w:pPr>
              <w:pStyle w:val="2"/>
              <w:spacing w:line="5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未来，公司将通过深化临床研究、加强品牌建设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推进营销渠道的拓展与布局，进一步巩固并提升现代中药及化药科技在呼吸系统、消化代谢、心脑血管、妇科生殖以及生殖健康、抗感染、抗肿瘤等领域优势与竞争力，推动医药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 w:bidi="ar"/>
              </w:rPr>
              <w:t>制造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业务稳定发展。</w:t>
            </w:r>
          </w:p>
          <w:p w14:paraId="2FE2BAD2">
            <w:pPr>
              <w:pStyle w:val="2"/>
              <w:spacing w:line="5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</w:p>
          <w:p w14:paraId="46CF76CF">
            <w:pPr>
              <w:pStyle w:val="2"/>
              <w:spacing w:line="500" w:lineRule="exact"/>
              <w:ind w:firstLine="482" w:firstLineChars="200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七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  <w:t>）公司天然饮品业务国际化发展有何新进展、新举措？</w:t>
            </w:r>
          </w:p>
          <w:p w14:paraId="2B440081">
            <w:pPr>
              <w:pStyle w:val="2"/>
              <w:spacing w:line="5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答：2025年，公司天然饮品业务大力推进国际化进程，与多家海外公司达成战略合作，启动海外本土化运营项目，并推进王老吉国际品牌标识“WALOVI”及国际罐在多国发布与上市，推动天然饮品业务海外销售额实现同比增长。</w:t>
            </w:r>
          </w:p>
          <w:p w14:paraId="55473D42">
            <w:pPr>
              <w:pStyle w:val="2"/>
              <w:spacing w:line="5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下一步，公司天然饮品将持续加码国际化战略，加快海外产能布局，持续优化东南亚供应链网络，同时强化欧美及其他市场布局，力争在国际市场拓展方面取得新突破。</w:t>
            </w:r>
          </w:p>
          <w:p w14:paraId="0D639D25">
            <w:pPr>
              <w:pStyle w:val="2"/>
              <w:spacing w:line="500" w:lineRule="exact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</w:p>
          <w:p w14:paraId="46267679">
            <w:pPr>
              <w:pStyle w:val="2"/>
              <w:spacing w:line="500" w:lineRule="exact"/>
              <w:ind w:firstLine="482" w:firstLineChars="200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八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  <w:t>）公司天然饮品业务是否有推出新品？</w:t>
            </w:r>
          </w:p>
          <w:p w14:paraId="29197B65">
            <w:pPr>
              <w:pStyle w:val="2"/>
              <w:spacing w:line="5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答：2025年，公司天然饮品业务围绕单品多元化和品类多元化战略，持续推进产品创新：（1）推出王老吉云柚青松口味新品；（2）针对餐饮渠道，推出490ml的果肉果汁新品---果摇爽，目前已上市青提、菠萝百香果、黄桃、荔枝4款口味；（3）结合运动饮料消费特征，推出1L装闪充电解质饮料，目前共上市刺梨柠檬和海盐荔枝2款口味；（4）以广东三宝中的化橘红、陈皮为原料，研制推出0糖0脂0卡的天然植物饮品－－化橘红陈皮；（5）以品类拓展为战略方向，推出森石活泉天然矿泉水。</w:t>
            </w:r>
          </w:p>
          <w:p w14:paraId="4933BC08">
            <w:pPr>
              <w:pStyle w:val="2"/>
              <w:spacing w:line="5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2026年，公司将进一步深化单品多元化与品类多元化发展路径，持续完善产品矩阵。</w:t>
            </w:r>
          </w:p>
          <w:p w14:paraId="2A1EB9AC">
            <w:pPr>
              <w:pStyle w:val="2"/>
              <w:spacing w:line="500" w:lineRule="exact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</w:p>
          <w:p w14:paraId="337D79EB">
            <w:pPr>
              <w:pStyle w:val="2"/>
              <w:spacing w:line="500" w:lineRule="exact"/>
              <w:ind w:firstLine="482" w:firstLineChars="200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九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  <w:t>）未来，天然饮品的发展重点是什么？</w:t>
            </w:r>
          </w:p>
          <w:p w14:paraId="4C4B6C2D">
            <w:pPr>
              <w:pStyle w:val="2"/>
              <w:spacing w:line="5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答：未来，公司天然饮品业务将以“拓展赛道，升级品牌”为核心目标，全面推进各项战略举措：一是持续深耕核心消费场景，强化品牌文化认知，推动品牌价值不断提升；二是积极拓展重点消费领域，引导消费心智向日常健康饮品升级，持续扩大品牌消费群体；三是统筹国内国际两个市场，系统培育发展新增长点。</w:t>
            </w:r>
          </w:p>
          <w:p w14:paraId="2D65FEB0">
            <w:pPr>
              <w:pStyle w:val="2"/>
              <w:spacing w:line="5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</w:p>
          <w:p w14:paraId="1B33E7E0">
            <w:pPr>
              <w:pStyle w:val="2"/>
              <w:spacing w:line="500" w:lineRule="exact"/>
              <w:ind w:firstLine="482" w:firstLineChars="200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  <w:t>（十）2025年，公司医药商业营业收入实现增长的原因是什么？</w:t>
            </w:r>
          </w:p>
          <w:p w14:paraId="6E318EF0">
            <w:pPr>
              <w:pStyle w:val="2"/>
              <w:spacing w:line="5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答：2025年，公司医药商业营业收入实现同比增长，主要得益于：（1）医疗批发业务通过持续优化合作机制、深度整合渠道资源，同时加紧创新药、国谈药的抢夺和准入，积极拓展增量来源，实现分销业务稳健增长；（2）零售业务紧抓“双通道”政策机遇，强化批零联动，推动实现零售业务经营质量持续提升。</w:t>
            </w:r>
          </w:p>
          <w:p w14:paraId="639C884B">
            <w:pPr>
              <w:pStyle w:val="2"/>
              <w:spacing w:line="500" w:lineRule="exact"/>
              <w:ind w:firstLine="482" w:firstLineChars="200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 w14:paraId="2A9446A5">
            <w:pPr>
              <w:pStyle w:val="2"/>
              <w:spacing w:line="500" w:lineRule="exact"/>
              <w:ind w:firstLine="482" w:firstLineChars="200"/>
              <w:rPr>
                <w:rFonts w:ascii="Times New Roman" w:hAnsi="Times New Roman" w:eastAsia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  <w:t>（十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一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  <w:lang w:bidi="ar"/>
              </w:rPr>
              <w:t>2025年，公司应收账款有所增加，针对当前回款情况，未来是否会采取措施控制应收账款的规模、改善回款情况？</w:t>
            </w:r>
          </w:p>
          <w:p w14:paraId="5C0EA617">
            <w:pPr>
              <w:pStyle w:val="2"/>
              <w:spacing w:line="5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答：2025年，受部分地区医保拨付政策执行差异等因素影响，医疗机构回款有所放缓，公司医药商业应收账款账龄延长，导致计提的应收账款坏账增加。为有效应对回款挑战，公司将密切跟踪国家及地方医保基金即时结算、直接结算改革进展，力争借助政策窗口改善回款环境，同时持续强化应收账款精细化管理，并通过制定回款计划、法律清收、应收账款保理、资产证券化等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bidi="ar"/>
              </w:rPr>
              <w:t>项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举措加快资金回笼。</w:t>
            </w:r>
          </w:p>
          <w:p w14:paraId="6EAD1ECB">
            <w:pPr>
              <w:pStyle w:val="2"/>
              <w:spacing w:line="5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</w:p>
          <w:p w14:paraId="13D303FA">
            <w:pPr>
              <w:pStyle w:val="2"/>
              <w:spacing w:line="500" w:lineRule="exact"/>
              <w:ind w:firstLine="482" w:firstLineChars="200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  <w:t>（十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二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  <w:t>）未来，公司医药商业有何发展规划？</w:t>
            </w:r>
          </w:p>
          <w:p w14:paraId="28A8D82A">
            <w:pPr>
              <w:pStyle w:val="2"/>
              <w:spacing w:line="5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答：未来，公司医药商业将聚焦高质量发展主线，持续巩固药品批发的压舱石作用，同时深耕医疗器械、消费者健康及国际业务，构建更加均衡的业务格局，推动综合实力与发展质效持续提升。</w:t>
            </w:r>
          </w:p>
          <w:p w14:paraId="3113554A">
            <w:pPr>
              <w:pStyle w:val="2"/>
              <w:spacing w:line="500" w:lineRule="exact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</w:p>
          <w:p w14:paraId="48CCEFD9">
            <w:pPr>
              <w:pStyle w:val="2"/>
              <w:spacing w:line="500" w:lineRule="exact"/>
              <w:ind w:firstLine="482" w:firstLineChars="200"/>
              <w:rPr>
                <w:rFonts w:ascii="Times New Roman" w:hAnsi="Times New Roman" w:eastAsia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  <w:lang w:bidi="ar"/>
              </w:rPr>
              <w:t>（十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 w:bidi="ar"/>
              </w:rPr>
              <w:t>三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  <w:lang w:bidi="ar"/>
              </w:rPr>
              <w:t>）公司在薪酬绩效与激励机制方面有何进展？</w:t>
            </w:r>
          </w:p>
          <w:p w14:paraId="6DF2922B">
            <w:pPr>
              <w:pStyle w:val="2"/>
              <w:spacing w:line="50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bidi="ar"/>
              </w:rPr>
              <w:t>答：公司已聘请第三方机构，结合公司实际发展需求，探索制定薪酬绩效优化方案，进一步激发人才动力，加强人才队伍建设；同时，积极探索适合公司或下属企业发展的改革方案，探索开展混改、职业经理人机制等创新性举措，同时支持符合条件的下属企业探索开展股权激励、员工持股等，进一步激发下属子公司发展活力。</w:t>
            </w:r>
          </w:p>
          <w:p w14:paraId="240033D9">
            <w:pPr>
              <w:pStyle w:val="2"/>
              <w:spacing w:line="50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  <w:lang w:bidi="ar"/>
              </w:rPr>
            </w:pPr>
          </w:p>
          <w:p w14:paraId="1AAA3CA1">
            <w:pPr>
              <w:pStyle w:val="2"/>
              <w:spacing w:line="500" w:lineRule="exact"/>
              <w:ind w:firstLine="482" w:firstLineChars="200"/>
              <w:rPr>
                <w:rFonts w:ascii="Times New Roman" w:hAnsi="Times New Roman" w:eastAsia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  <w:lang w:bidi="ar"/>
              </w:rPr>
              <w:t>（十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 w:bidi="ar"/>
              </w:rPr>
              <w:t>四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  <w:lang w:bidi="ar"/>
              </w:rPr>
              <w:t>）公司是否会进行回购？</w:t>
            </w:r>
          </w:p>
          <w:p w14:paraId="7B41F9E7">
            <w:pPr>
              <w:pStyle w:val="2"/>
              <w:spacing w:line="50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bidi="ar"/>
              </w:rPr>
              <w:t>答：公司暂无回购计划。后续，公司如有回购计划，将按照两地上市规则履行披露义务。</w:t>
            </w:r>
          </w:p>
          <w:p w14:paraId="2031598C">
            <w:pPr>
              <w:pStyle w:val="2"/>
              <w:spacing w:line="50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  <w:lang w:bidi="ar"/>
              </w:rPr>
            </w:pPr>
          </w:p>
          <w:p w14:paraId="4981C874">
            <w:pPr>
              <w:pStyle w:val="2"/>
              <w:spacing w:line="500" w:lineRule="exact"/>
              <w:ind w:firstLine="482" w:firstLineChars="200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  <w:t>（十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五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  <w:lang w:bidi="ar"/>
              </w:rPr>
              <w:t>）未来公司是否会提高分红？</w:t>
            </w:r>
          </w:p>
          <w:p w14:paraId="00A20B99">
            <w:pPr>
              <w:pStyle w:val="2"/>
              <w:spacing w:line="500" w:lineRule="exact"/>
              <w:ind w:firstLine="480" w:firstLineChars="200"/>
              <w:rPr>
                <w:rFonts w:ascii="宋体" w:hAnsi="宋体" w:eastAsia="宋体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答：为进一步提升投资者回报，公司已制定2025年现金分红方案，拟每股派发现金红利0.45元（含税）。2025年度，公司现金分红（含中期分红）总额约为13.82亿元，占本年度归属于股东的净利润的比例为46.32%。未来，公司将根据企业经营的实际情况，继续经营好业绩，争取在合理范围内给投资者更大回报。</w:t>
            </w:r>
          </w:p>
        </w:tc>
      </w:tr>
    </w:tbl>
    <w:p w14:paraId="66CC59A6">
      <w:pPr>
        <w:rPr>
          <w:rFonts w:ascii="宋体" w:hAnsi="宋体" w:eastAsia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B27B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E8D15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E8D15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MmVlNzFjNDI0ZTliMTBjN2NmZDYxODZkZGVmMDcifQ=="/>
  </w:docVars>
  <w:rsids>
    <w:rsidRoot w:val="00172A27"/>
    <w:rsid w:val="00025CB0"/>
    <w:rsid w:val="00026AD9"/>
    <w:rsid w:val="00032329"/>
    <w:rsid w:val="000423CF"/>
    <w:rsid w:val="00044D1C"/>
    <w:rsid w:val="00050DF4"/>
    <w:rsid w:val="0005752C"/>
    <w:rsid w:val="00061C18"/>
    <w:rsid w:val="0008758C"/>
    <w:rsid w:val="000C455F"/>
    <w:rsid w:val="00150AE8"/>
    <w:rsid w:val="001512EA"/>
    <w:rsid w:val="00162AF3"/>
    <w:rsid w:val="00172A27"/>
    <w:rsid w:val="00181A29"/>
    <w:rsid w:val="00190A5F"/>
    <w:rsid w:val="00192476"/>
    <w:rsid w:val="0019375C"/>
    <w:rsid w:val="001A7C3F"/>
    <w:rsid w:val="001B2FA5"/>
    <w:rsid w:val="001D5B13"/>
    <w:rsid w:val="001D6CF4"/>
    <w:rsid w:val="001E2434"/>
    <w:rsid w:val="001E2B27"/>
    <w:rsid w:val="001E5849"/>
    <w:rsid w:val="001F0D8E"/>
    <w:rsid w:val="002030C7"/>
    <w:rsid w:val="00227682"/>
    <w:rsid w:val="00234F62"/>
    <w:rsid w:val="0023523C"/>
    <w:rsid w:val="00237154"/>
    <w:rsid w:val="0023740A"/>
    <w:rsid w:val="00244BDD"/>
    <w:rsid w:val="002A55F9"/>
    <w:rsid w:val="002D34CA"/>
    <w:rsid w:val="002D719D"/>
    <w:rsid w:val="002F071F"/>
    <w:rsid w:val="0031151B"/>
    <w:rsid w:val="00333576"/>
    <w:rsid w:val="003638D2"/>
    <w:rsid w:val="00372AEC"/>
    <w:rsid w:val="00372E22"/>
    <w:rsid w:val="003843DA"/>
    <w:rsid w:val="00393833"/>
    <w:rsid w:val="003B20EB"/>
    <w:rsid w:val="003D4A24"/>
    <w:rsid w:val="003E2611"/>
    <w:rsid w:val="00416276"/>
    <w:rsid w:val="00417D16"/>
    <w:rsid w:val="0042267D"/>
    <w:rsid w:val="00426DE7"/>
    <w:rsid w:val="00430C9F"/>
    <w:rsid w:val="00440515"/>
    <w:rsid w:val="00444319"/>
    <w:rsid w:val="004508A9"/>
    <w:rsid w:val="00454DB9"/>
    <w:rsid w:val="004575B0"/>
    <w:rsid w:val="004629A5"/>
    <w:rsid w:val="00464276"/>
    <w:rsid w:val="004830A0"/>
    <w:rsid w:val="004A0494"/>
    <w:rsid w:val="004D0DC3"/>
    <w:rsid w:val="004D7C37"/>
    <w:rsid w:val="00535815"/>
    <w:rsid w:val="005666FB"/>
    <w:rsid w:val="0058744F"/>
    <w:rsid w:val="005A0C6A"/>
    <w:rsid w:val="005A6D48"/>
    <w:rsid w:val="005D695F"/>
    <w:rsid w:val="005E6EA6"/>
    <w:rsid w:val="005F2058"/>
    <w:rsid w:val="005F2987"/>
    <w:rsid w:val="005F4FCF"/>
    <w:rsid w:val="005F6069"/>
    <w:rsid w:val="00624602"/>
    <w:rsid w:val="00631DD3"/>
    <w:rsid w:val="006366B1"/>
    <w:rsid w:val="00641E4D"/>
    <w:rsid w:val="00643621"/>
    <w:rsid w:val="00653716"/>
    <w:rsid w:val="00672B6C"/>
    <w:rsid w:val="00676F1A"/>
    <w:rsid w:val="0068760B"/>
    <w:rsid w:val="00690627"/>
    <w:rsid w:val="00694DCE"/>
    <w:rsid w:val="006A31C5"/>
    <w:rsid w:val="006B399C"/>
    <w:rsid w:val="006C7988"/>
    <w:rsid w:val="006D3077"/>
    <w:rsid w:val="006E36C1"/>
    <w:rsid w:val="006F0129"/>
    <w:rsid w:val="006F78C2"/>
    <w:rsid w:val="007118FE"/>
    <w:rsid w:val="00711D0F"/>
    <w:rsid w:val="00711D80"/>
    <w:rsid w:val="007137B8"/>
    <w:rsid w:val="00716CD9"/>
    <w:rsid w:val="007616A5"/>
    <w:rsid w:val="007636A3"/>
    <w:rsid w:val="007802B8"/>
    <w:rsid w:val="00795FD5"/>
    <w:rsid w:val="007A2E2D"/>
    <w:rsid w:val="007C124C"/>
    <w:rsid w:val="007C2D01"/>
    <w:rsid w:val="007E76DC"/>
    <w:rsid w:val="008000EC"/>
    <w:rsid w:val="00806304"/>
    <w:rsid w:val="00812351"/>
    <w:rsid w:val="00816522"/>
    <w:rsid w:val="008534FA"/>
    <w:rsid w:val="00861A58"/>
    <w:rsid w:val="008F5BDD"/>
    <w:rsid w:val="00900532"/>
    <w:rsid w:val="00916D30"/>
    <w:rsid w:val="0092138B"/>
    <w:rsid w:val="00924CFF"/>
    <w:rsid w:val="00926D52"/>
    <w:rsid w:val="00940C21"/>
    <w:rsid w:val="00941BE8"/>
    <w:rsid w:val="00954ADF"/>
    <w:rsid w:val="00957621"/>
    <w:rsid w:val="00965600"/>
    <w:rsid w:val="00981F53"/>
    <w:rsid w:val="009846E6"/>
    <w:rsid w:val="009917D2"/>
    <w:rsid w:val="009A2F93"/>
    <w:rsid w:val="009B2D59"/>
    <w:rsid w:val="009D1231"/>
    <w:rsid w:val="009E4068"/>
    <w:rsid w:val="00A04B95"/>
    <w:rsid w:val="00A055C7"/>
    <w:rsid w:val="00A27FC2"/>
    <w:rsid w:val="00A31AD1"/>
    <w:rsid w:val="00A42E7E"/>
    <w:rsid w:val="00A838B1"/>
    <w:rsid w:val="00AB16B9"/>
    <w:rsid w:val="00AB2E37"/>
    <w:rsid w:val="00AB78DB"/>
    <w:rsid w:val="00AD1DDC"/>
    <w:rsid w:val="00AE3836"/>
    <w:rsid w:val="00AF4F8E"/>
    <w:rsid w:val="00B10F38"/>
    <w:rsid w:val="00B2542A"/>
    <w:rsid w:val="00B34BCA"/>
    <w:rsid w:val="00B409FC"/>
    <w:rsid w:val="00B4791A"/>
    <w:rsid w:val="00B47DA0"/>
    <w:rsid w:val="00B82458"/>
    <w:rsid w:val="00B85224"/>
    <w:rsid w:val="00B85BF3"/>
    <w:rsid w:val="00B86058"/>
    <w:rsid w:val="00BA4FAB"/>
    <w:rsid w:val="00BD34F3"/>
    <w:rsid w:val="00BE71DD"/>
    <w:rsid w:val="00BF53F3"/>
    <w:rsid w:val="00BF6490"/>
    <w:rsid w:val="00C17FFD"/>
    <w:rsid w:val="00C30AEE"/>
    <w:rsid w:val="00C419EA"/>
    <w:rsid w:val="00C52639"/>
    <w:rsid w:val="00C618C3"/>
    <w:rsid w:val="00C6785D"/>
    <w:rsid w:val="00C67F92"/>
    <w:rsid w:val="00C74C1A"/>
    <w:rsid w:val="00C84386"/>
    <w:rsid w:val="00C90242"/>
    <w:rsid w:val="00CB14DC"/>
    <w:rsid w:val="00CC5714"/>
    <w:rsid w:val="00CE6791"/>
    <w:rsid w:val="00CF047B"/>
    <w:rsid w:val="00CF1631"/>
    <w:rsid w:val="00CF4DDB"/>
    <w:rsid w:val="00D075FA"/>
    <w:rsid w:val="00D132CA"/>
    <w:rsid w:val="00D15514"/>
    <w:rsid w:val="00D22970"/>
    <w:rsid w:val="00D22A15"/>
    <w:rsid w:val="00D25777"/>
    <w:rsid w:val="00D32B0B"/>
    <w:rsid w:val="00D4320B"/>
    <w:rsid w:val="00DA63E6"/>
    <w:rsid w:val="00DB1D0E"/>
    <w:rsid w:val="00DC5CB4"/>
    <w:rsid w:val="00DD7901"/>
    <w:rsid w:val="00DE1A21"/>
    <w:rsid w:val="00E00758"/>
    <w:rsid w:val="00E10DEB"/>
    <w:rsid w:val="00E163CE"/>
    <w:rsid w:val="00E24D7D"/>
    <w:rsid w:val="00E265BD"/>
    <w:rsid w:val="00E4048D"/>
    <w:rsid w:val="00E46AD2"/>
    <w:rsid w:val="00E735D9"/>
    <w:rsid w:val="00E7643E"/>
    <w:rsid w:val="00E863F3"/>
    <w:rsid w:val="00EA7ED8"/>
    <w:rsid w:val="00EC4BF3"/>
    <w:rsid w:val="00EC7D58"/>
    <w:rsid w:val="00ED3436"/>
    <w:rsid w:val="00F01C36"/>
    <w:rsid w:val="00F06EDA"/>
    <w:rsid w:val="00F22A2A"/>
    <w:rsid w:val="00F269D3"/>
    <w:rsid w:val="00F609E2"/>
    <w:rsid w:val="00FB5649"/>
    <w:rsid w:val="00FC6C8E"/>
    <w:rsid w:val="00FC7316"/>
    <w:rsid w:val="00FE79E5"/>
    <w:rsid w:val="010D427B"/>
    <w:rsid w:val="01201F55"/>
    <w:rsid w:val="01AD3A23"/>
    <w:rsid w:val="026B2CB8"/>
    <w:rsid w:val="03920A67"/>
    <w:rsid w:val="03C9092D"/>
    <w:rsid w:val="04212517"/>
    <w:rsid w:val="04917185"/>
    <w:rsid w:val="05BF3CB6"/>
    <w:rsid w:val="063D4CBA"/>
    <w:rsid w:val="06622973"/>
    <w:rsid w:val="07102EA3"/>
    <w:rsid w:val="07452CE3"/>
    <w:rsid w:val="074B4461"/>
    <w:rsid w:val="07852DBD"/>
    <w:rsid w:val="079E79DA"/>
    <w:rsid w:val="07A27EEC"/>
    <w:rsid w:val="07A836F4"/>
    <w:rsid w:val="07B03875"/>
    <w:rsid w:val="07B32739"/>
    <w:rsid w:val="0882554E"/>
    <w:rsid w:val="090C0028"/>
    <w:rsid w:val="091A677A"/>
    <w:rsid w:val="09EB2C7F"/>
    <w:rsid w:val="0A2F6341"/>
    <w:rsid w:val="0A764C3F"/>
    <w:rsid w:val="0A8344B4"/>
    <w:rsid w:val="0AA7304A"/>
    <w:rsid w:val="0ADD5073"/>
    <w:rsid w:val="0AE71698"/>
    <w:rsid w:val="0AEC3153"/>
    <w:rsid w:val="0AF11EFA"/>
    <w:rsid w:val="0B801AF3"/>
    <w:rsid w:val="0BCE214B"/>
    <w:rsid w:val="0BE24FAD"/>
    <w:rsid w:val="0BFD6B61"/>
    <w:rsid w:val="0C17188A"/>
    <w:rsid w:val="0C9B098C"/>
    <w:rsid w:val="0CB240D8"/>
    <w:rsid w:val="0CCE789E"/>
    <w:rsid w:val="0D9E5A0B"/>
    <w:rsid w:val="0E1600BC"/>
    <w:rsid w:val="0E5928AD"/>
    <w:rsid w:val="0EE20AF5"/>
    <w:rsid w:val="0F5B1954"/>
    <w:rsid w:val="0FBF0E36"/>
    <w:rsid w:val="0FE85BEC"/>
    <w:rsid w:val="0FE91A0F"/>
    <w:rsid w:val="104C4D64"/>
    <w:rsid w:val="11976A68"/>
    <w:rsid w:val="11B36F2A"/>
    <w:rsid w:val="11BD6E3E"/>
    <w:rsid w:val="11E91587"/>
    <w:rsid w:val="12170AB5"/>
    <w:rsid w:val="12353631"/>
    <w:rsid w:val="124C4FD5"/>
    <w:rsid w:val="125A30C4"/>
    <w:rsid w:val="128D521B"/>
    <w:rsid w:val="12ED7A68"/>
    <w:rsid w:val="130152C1"/>
    <w:rsid w:val="133F476E"/>
    <w:rsid w:val="13482EF0"/>
    <w:rsid w:val="1363595C"/>
    <w:rsid w:val="14123C2A"/>
    <w:rsid w:val="142D0E0E"/>
    <w:rsid w:val="148E15C6"/>
    <w:rsid w:val="15036C38"/>
    <w:rsid w:val="15507A24"/>
    <w:rsid w:val="16055DDA"/>
    <w:rsid w:val="161812FA"/>
    <w:rsid w:val="162219DC"/>
    <w:rsid w:val="16806CB1"/>
    <w:rsid w:val="16CA07EC"/>
    <w:rsid w:val="16D056D6"/>
    <w:rsid w:val="16DC407B"/>
    <w:rsid w:val="16EF1130"/>
    <w:rsid w:val="179E3A27"/>
    <w:rsid w:val="17C9137B"/>
    <w:rsid w:val="17CA65CA"/>
    <w:rsid w:val="17E54BD3"/>
    <w:rsid w:val="17F0126D"/>
    <w:rsid w:val="18090EA0"/>
    <w:rsid w:val="181E5365"/>
    <w:rsid w:val="18290801"/>
    <w:rsid w:val="18545F68"/>
    <w:rsid w:val="189360E5"/>
    <w:rsid w:val="18EE0096"/>
    <w:rsid w:val="19293B87"/>
    <w:rsid w:val="1940793F"/>
    <w:rsid w:val="19A215B9"/>
    <w:rsid w:val="19E70E0E"/>
    <w:rsid w:val="19FC104D"/>
    <w:rsid w:val="1A0E09F0"/>
    <w:rsid w:val="1A8707A2"/>
    <w:rsid w:val="1AB7210B"/>
    <w:rsid w:val="1AC65D6F"/>
    <w:rsid w:val="1B5B5EB7"/>
    <w:rsid w:val="1B6B70D8"/>
    <w:rsid w:val="1B6E62F4"/>
    <w:rsid w:val="1B8515C8"/>
    <w:rsid w:val="1BAB4AC5"/>
    <w:rsid w:val="1BD65A0D"/>
    <w:rsid w:val="1C051F94"/>
    <w:rsid w:val="1C3861F8"/>
    <w:rsid w:val="1C4A1A87"/>
    <w:rsid w:val="1C4B4A0F"/>
    <w:rsid w:val="1C5A6817"/>
    <w:rsid w:val="1C5B5A42"/>
    <w:rsid w:val="1CA94A00"/>
    <w:rsid w:val="1CD43639"/>
    <w:rsid w:val="1D494184"/>
    <w:rsid w:val="1D7B7E7D"/>
    <w:rsid w:val="1D8944E9"/>
    <w:rsid w:val="1DCE33A3"/>
    <w:rsid w:val="1DD333DB"/>
    <w:rsid w:val="1DDE150B"/>
    <w:rsid w:val="1E3C42D4"/>
    <w:rsid w:val="1ECB4267"/>
    <w:rsid w:val="1F3638AE"/>
    <w:rsid w:val="1F594E5D"/>
    <w:rsid w:val="1FBD2442"/>
    <w:rsid w:val="202D1DEC"/>
    <w:rsid w:val="20681567"/>
    <w:rsid w:val="20B348F3"/>
    <w:rsid w:val="20D075ED"/>
    <w:rsid w:val="210743EB"/>
    <w:rsid w:val="212D4142"/>
    <w:rsid w:val="21303941"/>
    <w:rsid w:val="215D5E73"/>
    <w:rsid w:val="217D46AD"/>
    <w:rsid w:val="218F236A"/>
    <w:rsid w:val="21D30E45"/>
    <w:rsid w:val="22121D98"/>
    <w:rsid w:val="222F1E4B"/>
    <w:rsid w:val="223E68AF"/>
    <w:rsid w:val="2265586D"/>
    <w:rsid w:val="23361B69"/>
    <w:rsid w:val="233A223B"/>
    <w:rsid w:val="234B1C36"/>
    <w:rsid w:val="23563407"/>
    <w:rsid w:val="23CF4182"/>
    <w:rsid w:val="25C83F87"/>
    <w:rsid w:val="25DB0FD9"/>
    <w:rsid w:val="25F95EEC"/>
    <w:rsid w:val="261C0BF7"/>
    <w:rsid w:val="262275D1"/>
    <w:rsid w:val="266876DA"/>
    <w:rsid w:val="26862B41"/>
    <w:rsid w:val="26F61EFB"/>
    <w:rsid w:val="273A716C"/>
    <w:rsid w:val="2758774E"/>
    <w:rsid w:val="278E4F1E"/>
    <w:rsid w:val="280D4603"/>
    <w:rsid w:val="287912E5"/>
    <w:rsid w:val="287C121A"/>
    <w:rsid w:val="292E501E"/>
    <w:rsid w:val="29512368"/>
    <w:rsid w:val="29B535B1"/>
    <w:rsid w:val="2A1A2444"/>
    <w:rsid w:val="2A3648F0"/>
    <w:rsid w:val="2A715156"/>
    <w:rsid w:val="2A790107"/>
    <w:rsid w:val="2A86447F"/>
    <w:rsid w:val="2ADF2513"/>
    <w:rsid w:val="2B075C65"/>
    <w:rsid w:val="2B447689"/>
    <w:rsid w:val="2B591E08"/>
    <w:rsid w:val="2BBB02AC"/>
    <w:rsid w:val="2BCF10A6"/>
    <w:rsid w:val="2C1300E8"/>
    <w:rsid w:val="2C575738"/>
    <w:rsid w:val="2C8B5ED0"/>
    <w:rsid w:val="2C960884"/>
    <w:rsid w:val="2CA973E9"/>
    <w:rsid w:val="2D4521E4"/>
    <w:rsid w:val="2DD90EBD"/>
    <w:rsid w:val="2DF81343"/>
    <w:rsid w:val="2E6B2BC6"/>
    <w:rsid w:val="2EE47B19"/>
    <w:rsid w:val="2F2D14C0"/>
    <w:rsid w:val="2F6A3570"/>
    <w:rsid w:val="2F964F05"/>
    <w:rsid w:val="2FEA11EA"/>
    <w:rsid w:val="3036293F"/>
    <w:rsid w:val="30896480"/>
    <w:rsid w:val="30963095"/>
    <w:rsid w:val="30A07565"/>
    <w:rsid w:val="30AB5BFC"/>
    <w:rsid w:val="31363720"/>
    <w:rsid w:val="314E47F2"/>
    <w:rsid w:val="315C308A"/>
    <w:rsid w:val="31807F66"/>
    <w:rsid w:val="31B118FD"/>
    <w:rsid w:val="32874D75"/>
    <w:rsid w:val="32A7158A"/>
    <w:rsid w:val="32AE46C6"/>
    <w:rsid w:val="32DE69D8"/>
    <w:rsid w:val="32EB2B64"/>
    <w:rsid w:val="334F6D3D"/>
    <w:rsid w:val="335C6172"/>
    <w:rsid w:val="336229E7"/>
    <w:rsid w:val="337F6B6E"/>
    <w:rsid w:val="33911F37"/>
    <w:rsid w:val="33E21C1A"/>
    <w:rsid w:val="34311A53"/>
    <w:rsid w:val="343230D5"/>
    <w:rsid w:val="346C48F4"/>
    <w:rsid w:val="346D766F"/>
    <w:rsid w:val="34E71972"/>
    <w:rsid w:val="34F9186F"/>
    <w:rsid w:val="3533084D"/>
    <w:rsid w:val="354D54A9"/>
    <w:rsid w:val="359679D1"/>
    <w:rsid w:val="35AA0971"/>
    <w:rsid w:val="36E63C08"/>
    <w:rsid w:val="36E92225"/>
    <w:rsid w:val="372C6E7F"/>
    <w:rsid w:val="376D0754"/>
    <w:rsid w:val="376D1E36"/>
    <w:rsid w:val="37DA313A"/>
    <w:rsid w:val="381B277F"/>
    <w:rsid w:val="3824770E"/>
    <w:rsid w:val="38545D10"/>
    <w:rsid w:val="38C43E25"/>
    <w:rsid w:val="399972E4"/>
    <w:rsid w:val="39F6132E"/>
    <w:rsid w:val="3A166BEF"/>
    <w:rsid w:val="3A1864B2"/>
    <w:rsid w:val="3A1F4445"/>
    <w:rsid w:val="3A3815D3"/>
    <w:rsid w:val="3A3E6C77"/>
    <w:rsid w:val="3A415891"/>
    <w:rsid w:val="3A591F82"/>
    <w:rsid w:val="3A6D7BE3"/>
    <w:rsid w:val="3ACC7DDF"/>
    <w:rsid w:val="3B225C51"/>
    <w:rsid w:val="3B3E3FA5"/>
    <w:rsid w:val="3B450930"/>
    <w:rsid w:val="3BA23236"/>
    <w:rsid w:val="3C1852A6"/>
    <w:rsid w:val="3C6A7383"/>
    <w:rsid w:val="3C74099D"/>
    <w:rsid w:val="3C7D054C"/>
    <w:rsid w:val="3CE8383B"/>
    <w:rsid w:val="3D605157"/>
    <w:rsid w:val="3D7A3C99"/>
    <w:rsid w:val="3DC512D0"/>
    <w:rsid w:val="3E5B4D46"/>
    <w:rsid w:val="3E66054B"/>
    <w:rsid w:val="3F4C5993"/>
    <w:rsid w:val="3F8E5FAB"/>
    <w:rsid w:val="3FD10385"/>
    <w:rsid w:val="3FDB51DB"/>
    <w:rsid w:val="40871FB8"/>
    <w:rsid w:val="40CD253B"/>
    <w:rsid w:val="40E35B04"/>
    <w:rsid w:val="41990C37"/>
    <w:rsid w:val="41ED47FB"/>
    <w:rsid w:val="41F80C94"/>
    <w:rsid w:val="42537038"/>
    <w:rsid w:val="42835EF4"/>
    <w:rsid w:val="42CE4911"/>
    <w:rsid w:val="430D7664"/>
    <w:rsid w:val="43190F58"/>
    <w:rsid w:val="43763100"/>
    <w:rsid w:val="437B2938"/>
    <w:rsid w:val="43FB0295"/>
    <w:rsid w:val="4427077C"/>
    <w:rsid w:val="44492474"/>
    <w:rsid w:val="44617BA5"/>
    <w:rsid w:val="44DC3315"/>
    <w:rsid w:val="450137F0"/>
    <w:rsid w:val="45053792"/>
    <w:rsid w:val="4534527F"/>
    <w:rsid w:val="453D05C7"/>
    <w:rsid w:val="45516773"/>
    <w:rsid w:val="45BE5CA2"/>
    <w:rsid w:val="45FA1CE4"/>
    <w:rsid w:val="460C5E7C"/>
    <w:rsid w:val="46380A1F"/>
    <w:rsid w:val="467CFF17"/>
    <w:rsid w:val="469C0860"/>
    <w:rsid w:val="46A351E1"/>
    <w:rsid w:val="46BA58D8"/>
    <w:rsid w:val="47022DDB"/>
    <w:rsid w:val="470C1789"/>
    <w:rsid w:val="47327B17"/>
    <w:rsid w:val="473936A6"/>
    <w:rsid w:val="474F52FA"/>
    <w:rsid w:val="476B2748"/>
    <w:rsid w:val="47B440D5"/>
    <w:rsid w:val="47C841F6"/>
    <w:rsid w:val="47D77BA6"/>
    <w:rsid w:val="47E47B88"/>
    <w:rsid w:val="48166B3E"/>
    <w:rsid w:val="48742673"/>
    <w:rsid w:val="48764D34"/>
    <w:rsid w:val="48DA5496"/>
    <w:rsid w:val="48E32CA1"/>
    <w:rsid w:val="491F1A22"/>
    <w:rsid w:val="49574D12"/>
    <w:rsid w:val="495751DE"/>
    <w:rsid w:val="49C16F7D"/>
    <w:rsid w:val="4A34702F"/>
    <w:rsid w:val="4A710A83"/>
    <w:rsid w:val="4A714A31"/>
    <w:rsid w:val="4A832E71"/>
    <w:rsid w:val="4AEA31D4"/>
    <w:rsid w:val="4B4810FE"/>
    <w:rsid w:val="4B73153F"/>
    <w:rsid w:val="4B977597"/>
    <w:rsid w:val="4C066EC9"/>
    <w:rsid w:val="4C3752D5"/>
    <w:rsid w:val="4C602AB7"/>
    <w:rsid w:val="4CBF7C75"/>
    <w:rsid w:val="4CD11285"/>
    <w:rsid w:val="4CE70AA9"/>
    <w:rsid w:val="4D0623E1"/>
    <w:rsid w:val="4D233AF8"/>
    <w:rsid w:val="4D3E1798"/>
    <w:rsid w:val="4D480730"/>
    <w:rsid w:val="4D571ED4"/>
    <w:rsid w:val="4DD40C5E"/>
    <w:rsid w:val="4DDC4A17"/>
    <w:rsid w:val="4E121B55"/>
    <w:rsid w:val="4E2A6F15"/>
    <w:rsid w:val="4E30647F"/>
    <w:rsid w:val="4E3432F4"/>
    <w:rsid w:val="4F6B3C13"/>
    <w:rsid w:val="4FBB7FCB"/>
    <w:rsid w:val="502D0E36"/>
    <w:rsid w:val="50333DEC"/>
    <w:rsid w:val="50414974"/>
    <w:rsid w:val="508F56DF"/>
    <w:rsid w:val="50E35EBB"/>
    <w:rsid w:val="50FB0FC7"/>
    <w:rsid w:val="51404C2B"/>
    <w:rsid w:val="51F949B7"/>
    <w:rsid w:val="52985AF9"/>
    <w:rsid w:val="53505AE5"/>
    <w:rsid w:val="53830F02"/>
    <w:rsid w:val="53A316C5"/>
    <w:rsid w:val="53CE31DB"/>
    <w:rsid w:val="53FD9CDC"/>
    <w:rsid w:val="54327A61"/>
    <w:rsid w:val="54DC7AC6"/>
    <w:rsid w:val="5560764A"/>
    <w:rsid w:val="55AC288F"/>
    <w:rsid w:val="55C86F8B"/>
    <w:rsid w:val="55D6790C"/>
    <w:rsid w:val="56D15A89"/>
    <w:rsid w:val="572C51A7"/>
    <w:rsid w:val="576C677A"/>
    <w:rsid w:val="57C661A5"/>
    <w:rsid w:val="57CB1AC4"/>
    <w:rsid w:val="58035059"/>
    <w:rsid w:val="587358E6"/>
    <w:rsid w:val="58AC2BA6"/>
    <w:rsid w:val="58E41B62"/>
    <w:rsid w:val="592D325B"/>
    <w:rsid w:val="59314761"/>
    <w:rsid w:val="593D2E59"/>
    <w:rsid w:val="59A87812"/>
    <w:rsid w:val="59D02FE6"/>
    <w:rsid w:val="5A2C6B69"/>
    <w:rsid w:val="5A497EFA"/>
    <w:rsid w:val="5A8D3D2B"/>
    <w:rsid w:val="5B697EEF"/>
    <w:rsid w:val="5B702511"/>
    <w:rsid w:val="5B913D4A"/>
    <w:rsid w:val="5C056287"/>
    <w:rsid w:val="5C1F32A6"/>
    <w:rsid w:val="5D311BE6"/>
    <w:rsid w:val="5D3B34D2"/>
    <w:rsid w:val="5D976B3F"/>
    <w:rsid w:val="5E024645"/>
    <w:rsid w:val="5E548B43"/>
    <w:rsid w:val="5E5B3ACA"/>
    <w:rsid w:val="5E780AE1"/>
    <w:rsid w:val="5EB3CE55"/>
    <w:rsid w:val="5F246A9A"/>
    <w:rsid w:val="5F2D68B1"/>
    <w:rsid w:val="5F8EA272"/>
    <w:rsid w:val="5FAE0644"/>
    <w:rsid w:val="5FE445C6"/>
    <w:rsid w:val="5FF7D567"/>
    <w:rsid w:val="5FFD5AB9"/>
    <w:rsid w:val="60844B35"/>
    <w:rsid w:val="60B92AAF"/>
    <w:rsid w:val="610F1255"/>
    <w:rsid w:val="612A6E3D"/>
    <w:rsid w:val="61572249"/>
    <w:rsid w:val="61930DA7"/>
    <w:rsid w:val="61D43888"/>
    <w:rsid w:val="62214605"/>
    <w:rsid w:val="6223212B"/>
    <w:rsid w:val="622C188E"/>
    <w:rsid w:val="623D38BB"/>
    <w:rsid w:val="62691F3E"/>
    <w:rsid w:val="62B75CC2"/>
    <w:rsid w:val="63604CB9"/>
    <w:rsid w:val="636D7E27"/>
    <w:rsid w:val="6393680E"/>
    <w:rsid w:val="63F447FA"/>
    <w:rsid w:val="642467FB"/>
    <w:rsid w:val="646B1ECE"/>
    <w:rsid w:val="653603C7"/>
    <w:rsid w:val="65420882"/>
    <w:rsid w:val="6553506E"/>
    <w:rsid w:val="65672E18"/>
    <w:rsid w:val="656C1155"/>
    <w:rsid w:val="65707DCC"/>
    <w:rsid w:val="658B309F"/>
    <w:rsid w:val="664A15ED"/>
    <w:rsid w:val="665600F0"/>
    <w:rsid w:val="66727C84"/>
    <w:rsid w:val="66876902"/>
    <w:rsid w:val="66A650D9"/>
    <w:rsid w:val="66BD5E1B"/>
    <w:rsid w:val="66CD2666"/>
    <w:rsid w:val="67087B42"/>
    <w:rsid w:val="67A27022"/>
    <w:rsid w:val="67E05496"/>
    <w:rsid w:val="680C559B"/>
    <w:rsid w:val="68686BBC"/>
    <w:rsid w:val="687A00C6"/>
    <w:rsid w:val="68934717"/>
    <w:rsid w:val="69043963"/>
    <w:rsid w:val="69044022"/>
    <w:rsid w:val="6907627A"/>
    <w:rsid w:val="69165080"/>
    <w:rsid w:val="696B304E"/>
    <w:rsid w:val="697838DF"/>
    <w:rsid w:val="69C40A40"/>
    <w:rsid w:val="6A293639"/>
    <w:rsid w:val="6A5777C2"/>
    <w:rsid w:val="6A6634FD"/>
    <w:rsid w:val="6B287AD5"/>
    <w:rsid w:val="6B7316A4"/>
    <w:rsid w:val="6B8B77E1"/>
    <w:rsid w:val="6B9C4F21"/>
    <w:rsid w:val="6BDA2AFA"/>
    <w:rsid w:val="6BE4317B"/>
    <w:rsid w:val="6C58469A"/>
    <w:rsid w:val="6C6E055C"/>
    <w:rsid w:val="6C740B5E"/>
    <w:rsid w:val="6CC57182"/>
    <w:rsid w:val="6CC7277A"/>
    <w:rsid w:val="6D1D1356"/>
    <w:rsid w:val="6DA74875"/>
    <w:rsid w:val="6DE8697B"/>
    <w:rsid w:val="6E1967C1"/>
    <w:rsid w:val="6EBC5114"/>
    <w:rsid w:val="6ED57945"/>
    <w:rsid w:val="6EF2710D"/>
    <w:rsid w:val="6F08090C"/>
    <w:rsid w:val="6F4E7113"/>
    <w:rsid w:val="6F541B76"/>
    <w:rsid w:val="6F8E7ECA"/>
    <w:rsid w:val="6F9D2C59"/>
    <w:rsid w:val="6FAE28B9"/>
    <w:rsid w:val="6FBB11B3"/>
    <w:rsid w:val="70096E04"/>
    <w:rsid w:val="70B12FF8"/>
    <w:rsid w:val="71141CBA"/>
    <w:rsid w:val="71F37B08"/>
    <w:rsid w:val="72127AC6"/>
    <w:rsid w:val="722F31E7"/>
    <w:rsid w:val="724F6669"/>
    <w:rsid w:val="72A5504C"/>
    <w:rsid w:val="72E363F2"/>
    <w:rsid w:val="734C133A"/>
    <w:rsid w:val="73722F12"/>
    <w:rsid w:val="73972904"/>
    <w:rsid w:val="73B788E7"/>
    <w:rsid w:val="742C183A"/>
    <w:rsid w:val="743E1047"/>
    <w:rsid w:val="74404DBF"/>
    <w:rsid w:val="74566577"/>
    <w:rsid w:val="748E5089"/>
    <w:rsid w:val="74DB23BF"/>
    <w:rsid w:val="74E1184F"/>
    <w:rsid w:val="74FC2BFE"/>
    <w:rsid w:val="757F2329"/>
    <w:rsid w:val="75DE31F0"/>
    <w:rsid w:val="75E85E43"/>
    <w:rsid w:val="767E3A20"/>
    <w:rsid w:val="76AF7FDA"/>
    <w:rsid w:val="76CE593B"/>
    <w:rsid w:val="76F3B939"/>
    <w:rsid w:val="76FD4DCB"/>
    <w:rsid w:val="771222E8"/>
    <w:rsid w:val="77664B3C"/>
    <w:rsid w:val="77C4430A"/>
    <w:rsid w:val="77C82386"/>
    <w:rsid w:val="77E3785D"/>
    <w:rsid w:val="78457530"/>
    <w:rsid w:val="78C9620B"/>
    <w:rsid w:val="790A14F7"/>
    <w:rsid w:val="790F2AC2"/>
    <w:rsid w:val="7923774A"/>
    <w:rsid w:val="79856F2C"/>
    <w:rsid w:val="7A7237F8"/>
    <w:rsid w:val="7AA65250"/>
    <w:rsid w:val="7AFD1314"/>
    <w:rsid w:val="7B2F0256"/>
    <w:rsid w:val="7B926184"/>
    <w:rsid w:val="7C023D81"/>
    <w:rsid w:val="7C3B688B"/>
    <w:rsid w:val="7C41491B"/>
    <w:rsid w:val="7C58305E"/>
    <w:rsid w:val="7C7F7042"/>
    <w:rsid w:val="7D2637C1"/>
    <w:rsid w:val="7D505977"/>
    <w:rsid w:val="7E0046E9"/>
    <w:rsid w:val="7E210840"/>
    <w:rsid w:val="7E325778"/>
    <w:rsid w:val="7E36681D"/>
    <w:rsid w:val="7FB6280C"/>
    <w:rsid w:val="7FFF0A28"/>
    <w:rsid w:val="7FFF3A7E"/>
    <w:rsid w:val="8FFF3353"/>
    <w:rsid w:val="9CBF896A"/>
    <w:rsid w:val="A33D4B8B"/>
    <w:rsid w:val="A75F56E0"/>
    <w:rsid w:val="BFFA55A4"/>
    <w:rsid w:val="BFFBAC19"/>
    <w:rsid w:val="CFF5705B"/>
    <w:rsid w:val="DC5ED6EA"/>
    <w:rsid w:val="E67FB003"/>
    <w:rsid w:val="EB7F9EED"/>
    <w:rsid w:val="EC6FF248"/>
    <w:rsid w:val="EEFF9DCC"/>
    <w:rsid w:val="EF3E74E9"/>
    <w:rsid w:val="F6BEE215"/>
    <w:rsid w:val="F97B3386"/>
    <w:rsid w:val="FD7D69D4"/>
    <w:rsid w:val="FF2EA5B3"/>
    <w:rsid w:val="FFBF2C72"/>
    <w:rsid w:val="FFFFC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3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autoRedefine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autoRedefine/>
    <w:qFormat/>
    <w:uiPriority w:val="22"/>
    <w:rPr>
      <w:b/>
    </w:rPr>
  </w:style>
  <w:style w:type="character" w:styleId="11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12">
    <w:name w:val="批注文字 字符"/>
    <w:link w:val="2"/>
    <w:autoRedefine/>
    <w:qFormat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13">
    <w:name w:val="批注框文本 字符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link w:val="4"/>
    <w:autoRedefine/>
    <w:qFormat/>
    <w:uiPriority w:val="99"/>
    <w:rPr>
      <w:sz w:val="18"/>
      <w:szCs w:val="18"/>
    </w:rPr>
  </w:style>
  <w:style w:type="character" w:customStyle="1" w:styleId="15">
    <w:name w:val="页眉 字符"/>
    <w:link w:val="5"/>
    <w:autoRedefine/>
    <w:qFormat/>
    <w:uiPriority w:val="99"/>
    <w:rPr>
      <w:sz w:val="18"/>
      <w:szCs w:val="18"/>
    </w:rPr>
  </w:style>
  <w:style w:type="character" w:customStyle="1" w:styleId="16">
    <w:name w:val="批注主题 字符"/>
    <w:link w:val="6"/>
    <w:autoRedefine/>
    <w:semiHidden/>
    <w:qFormat/>
    <w:uiPriority w:val="99"/>
    <w:rPr>
      <w:rFonts w:ascii="等线" w:hAnsi="等线" w:eastAsia="等线"/>
      <w:b/>
      <w:bCs/>
      <w:kern w:val="2"/>
      <w:sz w:val="21"/>
      <w:szCs w:val="22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8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0b51dc90-f7e5-4bc9-b5c1-7a9c6e960749</errorID>
      <errorWord>约为</errorWord>
      <group>L1_Word</group>
      <groupName>字词问题</groupName>
      <ability>L2_Typo</ability>
      <abilityName>字词错误</abilityName>
      <candidateList>
        <item>约</item>
      </candidateList>
      <explain/>
      <paraID>4463C0A9</paraID>
      <start>61</start>
      <end>62</end>
      <status>modified</status>
      <modifiedWord>约</modifiedWord>
      <trackRevisions>false</trackRevisions>
    </reviewItem>
    <reviewItem>
      <errorID>d24e7f44-d0ea-4cc5-b1a8-14a75bc5191a</errorID>
      <errorWord>司</errorWord>
      <group>L1_Word</group>
      <groupName>字词问题</groupName>
      <ability>L2_Typo</ability>
      <abilityName>字词错误</abilityName>
      <candidateList>
        <item>司将</item>
      </candidateList>
      <explain/>
      <paraID>36E4F15C</paraID>
      <start>44</start>
      <end>45</end>
      <status>ignored</status>
      <modifiedWord/>
      <trackRevisions>false</trackRevisions>
    </reviewItem>
    <reviewItem>
      <errorID>6e2d8114-abeb-4ef8-ad15-7e69c31693bb</errorID>
      <errorWord>慢病</errorWord>
      <group>L1_Word</group>
      <groupName>字词问题</groupName>
      <ability>L2_Typo</ability>
      <abilityName>字词错误</abilityName>
      <candidateList>
        <item>慢性病</item>
      </candidateList>
      <explain/>
      <paraID>1C7FE799</paraID>
      <start>112</start>
      <end>114</end>
      <status>ignored</status>
      <modifiedWord/>
      <trackRevisions>false</trackRevisions>
    </reviewItem>
    <reviewItem>
      <errorID>6f7d6e54-ca97-4c2f-9c7b-3ae785a5fead</errorID>
      <errorWord>业</errorWord>
      <group>L1_Word</group>
      <groupName>字词问题</groupName>
      <ability>L2_Typo</ability>
      <abilityName>字词错误</abilityName>
      <candidateList>
        <item>业务</item>
      </candidateList>
      <explain/>
      <paraID>537FC621</paraID>
      <start>22</start>
      <end>24</end>
      <status>modified</status>
      <modifiedWord>业务</modifiedWord>
      <trackRevisions>false</trackRevisions>
    </reviewItem>
    <reviewItem>
      <errorID>b0a9e7c8-8844-42c1-900d-d94e8792e961</errorID>
      <errorWord>业</errorWord>
      <group>L1_Word</group>
      <groupName>字词问题</groupName>
      <ability>L2_Typo</ability>
      <abilityName>字词错误</abilityName>
      <candidateList>
        <item>业务</item>
      </candidateList>
      <explain/>
      <paraID> B8289BA</paraID>
      <start>79</start>
      <end>81</end>
      <status>modified</status>
      <modifiedWord>业务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4BC788-E3FE-4E95-9DF3-C904832B2A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GYBYS</Company>
  <Pages>6</Pages>
  <Words>2818</Words>
  <Characters>2927</Characters>
  <Lines>22</Lines>
  <Paragraphs>6</Paragraphs>
  <TotalTime>74</TotalTime>
  <ScaleCrop>false</ScaleCrop>
  <LinksUpToDate>false</LinksUpToDate>
  <CharactersWithSpaces>2971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2023-09-13T06:13:00Z</dcterms:created>
  <dc:creator>Licy</dc:creator>
  <cp:lastModifiedBy>瑶</cp:lastModifiedBy>
  <cp:lastPrinted>2026-04-03T07:48:00Z</cp:lastPrinted>
  <dcterms:modified xsi:type="dcterms:W3CDTF">2026-04-03T08:43:29Z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4ABAB1A95496484782CBE13068CB7D51_13</vt:lpwstr>
  </property>
  <property fmtid="{D5CDD505-2E9C-101B-9397-08002B2CF9AE}" pid="4" name="KSOTemplateDocerSaveRecord">
    <vt:lpwstr>eyJoZGlkIjoiNmFhMmVlNzFjNDI0ZTliMTBjN2NmZDYxODZkZGVmMDciLCJ1c2VySWQiOiIzMzY0MjI1NDgifQ==</vt:lpwstr>
  </property>
</Properties>
</file>