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CBBCE" w14:textId="77777777" w:rsidR="00E6091E" w:rsidRDefault="00933721">
      <w:pPr>
        <w:adjustRightInd w:val="0"/>
        <w:snapToGrid w:val="0"/>
        <w:spacing w:afterLines="50" w:after="156" w:line="520" w:lineRule="exact"/>
        <w:jc w:val="left"/>
        <w:rPr>
          <w:rFonts w:ascii="楷体" w:eastAsia="楷体" w:hAnsi="楷体" w:hint="eastAsia"/>
          <w:sz w:val="24"/>
        </w:rPr>
      </w:pPr>
      <w:r>
        <w:rPr>
          <w:rFonts w:ascii="楷体" w:eastAsia="楷体" w:hAnsi="楷体" w:hint="eastAsia"/>
          <w:sz w:val="24"/>
        </w:rPr>
        <w:t>证券代码：6</w:t>
      </w:r>
      <w:r>
        <w:rPr>
          <w:rFonts w:ascii="楷体" w:eastAsia="楷体" w:hAnsi="楷体"/>
          <w:sz w:val="24"/>
        </w:rPr>
        <w:t xml:space="preserve">00968   </w:t>
      </w:r>
      <w:r>
        <w:rPr>
          <w:rFonts w:ascii="楷体" w:eastAsia="楷体" w:hAnsi="楷体" w:hint="eastAsia"/>
          <w:sz w:val="24"/>
        </w:rPr>
        <w:t xml:space="preserve">                              证券简称：海油发展 </w:t>
      </w:r>
      <w:r>
        <w:rPr>
          <w:rFonts w:ascii="楷体" w:eastAsia="楷体" w:hAnsi="楷体"/>
          <w:sz w:val="24"/>
        </w:rPr>
        <w:t xml:space="preserve"> </w:t>
      </w:r>
    </w:p>
    <w:p w14:paraId="333D819D" w14:textId="77777777" w:rsidR="00E6091E" w:rsidRDefault="00933721">
      <w:pPr>
        <w:spacing w:line="480" w:lineRule="exact"/>
        <w:jc w:val="center"/>
        <w:rPr>
          <w:rFonts w:ascii="宋体" w:hAnsi="宋体" w:hint="eastAsia"/>
          <w:b/>
          <w:bCs/>
          <w:sz w:val="28"/>
          <w:szCs w:val="30"/>
        </w:rPr>
      </w:pPr>
      <w:r>
        <w:rPr>
          <w:rFonts w:ascii="宋体" w:hAnsi="宋体" w:hint="eastAsia"/>
          <w:b/>
          <w:bCs/>
          <w:sz w:val="28"/>
          <w:szCs w:val="30"/>
        </w:rPr>
        <w:t>中海油能源发展股份有限公司</w:t>
      </w:r>
    </w:p>
    <w:p w14:paraId="59A22B37" w14:textId="77777777" w:rsidR="00E6091E" w:rsidRDefault="00933721">
      <w:pPr>
        <w:spacing w:line="480" w:lineRule="exact"/>
        <w:jc w:val="center"/>
        <w:outlineLvl w:val="0"/>
        <w:rPr>
          <w:rFonts w:ascii="宋体" w:hAnsi="宋体" w:hint="eastAsia"/>
          <w:b/>
          <w:bCs/>
          <w:sz w:val="28"/>
          <w:szCs w:val="30"/>
        </w:rPr>
      </w:pPr>
      <w:r>
        <w:rPr>
          <w:rFonts w:ascii="宋体" w:hAnsi="宋体" w:hint="eastAsia"/>
          <w:b/>
          <w:bCs/>
          <w:sz w:val="28"/>
          <w:szCs w:val="30"/>
        </w:rPr>
        <w:t>投资者关系活动记录表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7397"/>
      </w:tblGrid>
      <w:tr w:rsidR="00E6091E" w14:paraId="13182EEF" w14:textId="77777777">
        <w:tc>
          <w:tcPr>
            <w:tcW w:w="646" w:type="pct"/>
            <w:tcBorders>
              <w:top w:val="single" w:sz="4" w:space="0" w:color="auto"/>
              <w:left w:val="single" w:sz="4" w:space="0" w:color="auto"/>
              <w:bottom w:val="single" w:sz="4" w:space="0" w:color="auto"/>
              <w:right w:val="single" w:sz="4" w:space="0" w:color="auto"/>
            </w:tcBorders>
            <w:vAlign w:val="center"/>
          </w:tcPr>
          <w:p w14:paraId="3D60CC40" w14:textId="77777777" w:rsidR="00E6091E" w:rsidRDefault="00933721">
            <w:pPr>
              <w:spacing w:line="400" w:lineRule="exact"/>
              <w:jc w:val="center"/>
              <w:rPr>
                <w:rFonts w:ascii="Arial" w:hAnsi="Arial"/>
                <w:bCs/>
                <w:sz w:val="24"/>
              </w:rPr>
            </w:pPr>
            <w:r>
              <w:rPr>
                <w:rFonts w:ascii="Arial" w:hAnsi="Arial" w:hint="eastAsia"/>
                <w:bCs/>
                <w:sz w:val="24"/>
              </w:rPr>
              <w:t>投资者关系活动类别</w:t>
            </w:r>
          </w:p>
        </w:tc>
        <w:tc>
          <w:tcPr>
            <w:tcW w:w="4353" w:type="pct"/>
            <w:tcBorders>
              <w:top w:val="single" w:sz="4" w:space="0" w:color="auto"/>
              <w:left w:val="single" w:sz="4" w:space="0" w:color="auto"/>
              <w:bottom w:val="single" w:sz="4" w:space="0" w:color="auto"/>
              <w:right w:val="single" w:sz="4" w:space="0" w:color="auto"/>
            </w:tcBorders>
            <w:vAlign w:val="center"/>
          </w:tcPr>
          <w:p w14:paraId="458882F9" w14:textId="77777777" w:rsidR="00E6091E" w:rsidRDefault="00933721">
            <w:pPr>
              <w:spacing w:line="400" w:lineRule="exact"/>
              <w:rPr>
                <w:rFonts w:ascii="Arial" w:hAnsi="Arial"/>
                <w:bCs/>
                <w:sz w:val="24"/>
              </w:rPr>
            </w:pPr>
            <w:r>
              <w:rPr>
                <w:rFonts w:ascii="Arial" w:hAnsi="Arial" w:hint="eastAsia"/>
                <w:bCs/>
                <w:sz w:val="24"/>
              </w:rPr>
              <w:t>□特定对象调研</w:t>
            </w:r>
            <w:r>
              <w:rPr>
                <w:rFonts w:ascii="Arial" w:hAnsi="Arial" w:hint="eastAsia"/>
                <w:bCs/>
                <w:sz w:val="24"/>
              </w:rPr>
              <w:t xml:space="preserve"> </w:t>
            </w:r>
            <w:r>
              <w:rPr>
                <w:rFonts w:ascii="Arial" w:hAnsi="Arial" w:hint="eastAsia"/>
                <w:bCs/>
                <w:sz w:val="24"/>
              </w:rPr>
              <w:sym w:font="Wingdings 2" w:char="00A3"/>
            </w:r>
            <w:r>
              <w:rPr>
                <w:rFonts w:ascii="Arial" w:hAnsi="Arial" w:hint="eastAsia"/>
                <w:bCs/>
                <w:sz w:val="24"/>
              </w:rPr>
              <w:t>分析师会议</w:t>
            </w:r>
          </w:p>
          <w:p w14:paraId="21156E7D" w14:textId="77777777" w:rsidR="00E6091E" w:rsidRDefault="00933721">
            <w:pPr>
              <w:spacing w:line="400" w:lineRule="exact"/>
              <w:rPr>
                <w:rFonts w:ascii="Arial" w:hAnsi="Arial"/>
                <w:bCs/>
                <w:sz w:val="24"/>
              </w:rPr>
            </w:pPr>
            <w:r>
              <w:rPr>
                <w:rFonts w:ascii="Arial" w:hAnsi="Arial" w:hint="eastAsia"/>
                <w:bCs/>
                <w:sz w:val="24"/>
              </w:rPr>
              <w:t>□媒体采访</w:t>
            </w:r>
            <w:r>
              <w:rPr>
                <w:rFonts w:ascii="Arial" w:hAnsi="Arial" w:hint="eastAsia"/>
                <w:bCs/>
                <w:sz w:val="24"/>
              </w:rPr>
              <w:t xml:space="preserve"> </w:t>
            </w:r>
            <w:r>
              <w:rPr>
                <w:rFonts w:ascii="Arial" w:hAnsi="Arial"/>
                <w:bCs/>
                <w:sz w:val="24"/>
              </w:rPr>
              <w:t xml:space="preserve">   </w:t>
            </w:r>
            <w:r>
              <w:rPr>
                <w:rFonts w:ascii="Arial" w:hAnsi="Arial" w:hint="eastAsia"/>
                <w:bCs/>
                <w:sz w:val="24"/>
              </w:rPr>
              <w:t xml:space="preserve"> </w:t>
            </w:r>
            <w:r>
              <w:rPr>
                <w:rFonts w:ascii="Arial" w:hAnsi="Arial" w:hint="eastAsia"/>
                <w:bCs/>
                <w:sz w:val="24"/>
              </w:rPr>
              <w:sym w:font="Wingdings 2" w:char="0052"/>
            </w:r>
            <w:r>
              <w:rPr>
                <w:rFonts w:ascii="Arial" w:hAnsi="Arial" w:hint="eastAsia"/>
                <w:bCs/>
                <w:sz w:val="24"/>
              </w:rPr>
              <w:t>业绩说明会</w:t>
            </w:r>
          </w:p>
          <w:p w14:paraId="4E3C77B1" w14:textId="77777777" w:rsidR="00E6091E" w:rsidRDefault="00933721">
            <w:pPr>
              <w:spacing w:line="400" w:lineRule="exact"/>
              <w:rPr>
                <w:rFonts w:ascii="Arial" w:hAnsi="Arial"/>
                <w:bCs/>
                <w:sz w:val="24"/>
              </w:rPr>
            </w:pPr>
            <w:r>
              <w:rPr>
                <w:rFonts w:ascii="Arial" w:hAnsi="Arial" w:hint="eastAsia"/>
                <w:bCs/>
                <w:sz w:val="24"/>
              </w:rPr>
              <w:t>□新闻发布会</w:t>
            </w:r>
            <w:r>
              <w:rPr>
                <w:rFonts w:ascii="Arial" w:hAnsi="Arial" w:hint="eastAsia"/>
                <w:bCs/>
                <w:sz w:val="24"/>
              </w:rPr>
              <w:t xml:space="preserve"> </w:t>
            </w:r>
            <w:r>
              <w:rPr>
                <w:rFonts w:ascii="Arial" w:hAnsi="Arial"/>
                <w:bCs/>
                <w:sz w:val="24"/>
              </w:rPr>
              <w:t xml:space="preserve">  </w:t>
            </w:r>
            <w:r>
              <w:rPr>
                <w:rFonts w:ascii="Arial" w:hAnsi="Arial" w:hint="eastAsia"/>
                <w:bCs/>
                <w:sz w:val="24"/>
              </w:rPr>
              <w:t>□路演活动</w:t>
            </w:r>
          </w:p>
          <w:p w14:paraId="00C8A9AE" w14:textId="77777777" w:rsidR="00E6091E" w:rsidRDefault="00933721">
            <w:pPr>
              <w:spacing w:line="400" w:lineRule="exact"/>
              <w:rPr>
                <w:rFonts w:ascii="Arial" w:hAnsi="Arial"/>
                <w:bCs/>
                <w:sz w:val="24"/>
              </w:rPr>
            </w:pPr>
            <w:r>
              <w:rPr>
                <w:rFonts w:ascii="Arial" w:hAnsi="Arial" w:hint="eastAsia"/>
                <w:bCs/>
                <w:sz w:val="24"/>
              </w:rPr>
              <w:t>□现场参观</w:t>
            </w:r>
          </w:p>
          <w:p w14:paraId="2D222CAA" w14:textId="77777777" w:rsidR="00E6091E" w:rsidRDefault="00933721">
            <w:pPr>
              <w:spacing w:line="400" w:lineRule="exact"/>
              <w:rPr>
                <w:rFonts w:ascii="Arial" w:hAnsi="Arial"/>
                <w:bCs/>
                <w:sz w:val="24"/>
              </w:rPr>
            </w:pPr>
            <w:r>
              <w:rPr>
                <w:rFonts w:ascii="Arial" w:hAnsi="Arial" w:hint="eastAsia"/>
                <w:bCs/>
                <w:sz w:val="24"/>
              </w:rPr>
              <w:t>□其他（请文字说明其他活动内容）</w:t>
            </w:r>
          </w:p>
        </w:tc>
      </w:tr>
      <w:tr w:rsidR="00E6091E" w14:paraId="7C313765" w14:textId="77777777">
        <w:tc>
          <w:tcPr>
            <w:tcW w:w="646" w:type="pct"/>
            <w:tcBorders>
              <w:top w:val="single" w:sz="4" w:space="0" w:color="auto"/>
              <w:left w:val="single" w:sz="4" w:space="0" w:color="auto"/>
              <w:bottom w:val="single" w:sz="4" w:space="0" w:color="auto"/>
              <w:right w:val="single" w:sz="4" w:space="0" w:color="auto"/>
            </w:tcBorders>
            <w:vAlign w:val="center"/>
          </w:tcPr>
          <w:p w14:paraId="21CD3625" w14:textId="77777777" w:rsidR="00E6091E" w:rsidRDefault="00933721">
            <w:pPr>
              <w:spacing w:line="360" w:lineRule="auto"/>
              <w:jc w:val="center"/>
              <w:rPr>
                <w:rFonts w:ascii="Arial" w:hAnsi="Arial"/>
                <w:bCs/>
                <w:sz w:val="24"/>
              </w:rPr>
            </w:pPr>
            <w:r>
              <w:rPr>
                <w:rFonts w:ascii="Arial" w:hAnsi="Arial" w:hint="eastAsia"/>
                <w:bCs/>
                <w:sz w:val="24"/>
              </w:rPr>
              <w:t>时间</w:t>
            </w:r>
          </w:p>
        </w:tc>
        <w:tc>
          <w:tcPr>
            <w:tcW w:w="4353" w:type="pct"/>
            <w:tcBorders>
              <w:top w:val="single" w:sz="4" w:space="0" w:color="auto"/>
              <w:left w:val="single" w:sz="4" w:space="0" w:color="auto"/>
              <w:bottom w:val="single" w:sz="4" w:space="0" w:color="auto"/>
              <w:right w:val="single" w:sz="4" w:space="0" w:color="auto"/>
            </w:tcBorders>
            <w:vAlign w:val="center"/>
          </w:tcPr>
          <w:p w14:paraId="58A2E4D2" w14:textId="77777777" w:rsidR="00E6091E" w:rsidRDefault="00933721" w:rsidP="006A29C9">
            <w:pPr>
              <w:spacing w:line="440" w:lineRule="exact"/>
              <w:rPr>
                <w:rFonts w:ascii="Arial" w:hAnsi="Arial" w:cs="Arial"/>
                <w:sz w:val="24"/>
              </w:rPr>
            </w:pPr>
            <w:r>
              <w:rPr>
                <w:rFonts w:ascii="Times New Roman" w:hAnsi="Times New Roman"/>
                <w:sz w:val="24"/>
              </w:rPr>
              <w:t>202</w:t>
            </w:r>
            <w:r w:rsidR="006A29C9">
              <w:rPr>
                <w:rFonts w:ascii="Times New Roman" w:hAnsi="Times New Roman"/>
                <w:sz w:val="24"/>
              </w:rPr>
              <w:t>6</w:t>
            </w:r>
            <w:r>
              <w:rPr>
                <w:rFonts w:ascii="Times New Roman" w:hAnsi="Times New Roman"/>
                <w:sz w:val="24"/>
              </w:rPr>
              <w:t>年</w:t>
            </w:r>
            <w:r w:rsidR="006A29C9">
              <w:rPr>
                <w:rFonts w:ascii="Times New Roman" w:hAnsi="Times New Roman"/>
                <w:sz w:val="24"/>
              </w:rPr>
              <w:t>4</w:t>
            </w:r>
            <w:r>
              <w:rPr>
                <w:rFonts w:ascii="Times New Roman" w:hAnsi="Times New Roman" w:hint="eastAsia"/>
                <w:sz w:val="24"/>
              </w:rPr>
              <w:t>月</w:t>
            </w:r>
            <w:r w:rsidR="006A29C9">
              <w:rPr>
                <w:rFonts w:ascii="Times New Roman" w:hAnsi="Times New Roman"/>
                <w:sz w:val="24"/>
              </w:rPr>
              <w:t>2</w:t>
            </w:r>
            <w:r>
              <w:rPr>
                <w:rFonts w:ascii="Times New Roman" w:hAnsi="Times New Roman"/>
                <w:sz w:val="24"/>
              </w:rPr>
              <w:t>日</w:t>
            </w:r>
            <w:r>
              <w:rPr>
                <w:rFonts w:ascii="Times New Roman" w:hAnsi="Times New Roman" w:hint="eastAsia"/>
                <w:sz w:val="24"/>
              </w:rPr>
              <w:t>15:00-16:00</w:t>
            </w:r>
          </w:p>
        </w:tc>
      </w:tr>
      <w:tr w:rsidR="00E6091E" w14:paraId="233883C8" w14:textId="77777777">
        <w:tc>
          <w:tcPr>
            <w:tcW w:w="646" w:type="pct"/>
            <w:tcBorders>
              <w:top w:val="single" w:sz="4" w:space="0" w:color="auto"/>
              <w:left w:val="single" w:sz="4" w:space="0" w:color="auto"/>
              <w:bottom w:val="single" w:sz="4" w:space="0" w:color="auto"/>
              <w:right w:val="single" w:sz="4" w:space="0" w:color="auto"/>
            </w:tcBorders>
            <w:vAlign w:val="center"/>
          </w:tcPr>
          <w:p w14:paraId="072723D1" w14:textId="77777777" w:rsidR="00E6091E" w:rsidRDefault="00933721">
            <w:pPr>
              <w:spacing w:line="360" w:lineRule="auto"/>
              <w:jc w:val="center"/>
              <w:rPr>
                <w:rFonts w:ascii="Arial" w:hAnsi="Arial"/>
                <w:bCs/>
                <w:sz w:val="24"/>
              </w:rPr>
            </w:pPr>
            <w:r>
              <w:rPr>
                <w:rFonts w:ascii="Arial" w:hAnsi="Arial" w:hint="eastAsia"/>
                <w:bCs/>
                <w:sz w:val="24"/>
              </w:rPr>
              <w:t>地点</w:t>
            </w:r>
          </w:p>
        </w:tc>
        <w:tc>
          <w:tcPr>
            <w:tcW w:w="4353" w:type="pct"/>
            <w:tcBorders>
              <w:top w:val="single" w:sz="4" w:space="0" w:color="auto"/>
              <w:left w:val="single" w:sz="4" w:space="0" w:color="auto"/>
              <w:bottom w:val="single" w:sz="4" w:space="0" w:color="auto"/>
              <w:right w:val="single" w:sz="4" w:space="0" w:color="auto"/>
            </w:tcBorders>
            <w:vAlign w:val="center"/>
          </w:tcPr>
          <w:p w14:paraId="0395C1CD" w14:textId="77777777" w:rsidR="00E6091E" w:rsidRDefault="00933721">
            <w:pPr>
              <w:spacing w:line="440" w:lineRule="exact"/>
              <w:rPr>
                <w:rFonts w:ascii="Arial" w:hAnsi="Arial" w:cs="Arial"/>
                <w:sz w:val="24"/>
              </w:rPr>
            </w:pPr>
            <w:r>
              <w:rPr>
                <w:rFonts w:ascii="Arial" w:hAnsi="Arial" w:cs="Arial" w:hint="eastAsia"/>
                <w:sz w:val="24"/>
              </w:rPr>
              <w:t>全景网</w:t>
            </w:r>
          </w:p>
        </w:tc>
      </w:tr>
      <w:tr w:rsidR="00E6091E" w14:paraId="0C187F98" w14:textId="77777777">
        <w:tc>
          <w:tcPr>
            <w:tcW w:w="646" w:type="pct"/>
            <w:tcBorders>
              <w:top w:val="single" w:sz="4" w:space="0" w:color="auto"/>
              <w:left w:val="single" w:sz="4" w:space="0" w:color="auto"/>
              <w:bottom w:val="single" w:sz="4" w:space="0" w:color="auto"/>
              <w:right w:val="single" w:sz="4" w:space="0" w:color="auto"/>
            </w:tcBorders>
            <w:vAlign w:val="center"/>
          </w:tcPr>
          <w:p w14:paraId="4A244CDF" w14:textId="77777777" w:rsidR="00E6091E" w:rsidRDefault="00933721">
            <w:pPr>
              <w:spacing w:line="276" w:lineRule="auto"/>
              <w:jc w:val="center"/>
              <w:rPr>
                <w:rFonts w:ascii="Arial" w:hAnsi="Arial"/>
                <w:bCs/>
                <w:sz w:val="24"/>
              </w:rPr>
            </w:pPr>
            <w:r>
              <w:rPr>
                <w:rFonts w:ascii="Arial" w:hAnsi="Arial" w:hint="eastAsia"/>
                <w:bCs/>
                <w:sz w:val="24"/>
              </w:rPr>
              <w:t>上市公司接待人员姓名</w:t>
            </w:r>
          </w:p>
        </w:tc>
        <w:tc>
          <w:tcPr>
            <w:tcW w:w="4353" w:type="pct"/>
            <w:tcBorders>
              <w:top w:val="single" w:sz="4" w:space="0" w:color="auto"/>
              <w:left w:val="single" w:sz="4" w:space="0" w:color="auto"/>
              <w:bottom w:val="single" w:sz="4" w:space="0" w:color="auto"/>
              <w:right w:val="single" w:sz="4" w:space="0" w:color="auto"/>
            </w:tcBorders>
            <w:vAlign w:val="center"/>
          </w:tcPr>
          <w:tbl>
            <w:tblPr>
              <w:tblW w:w="5000" w:type="pct"/>
              <w:tblLook w:val="04A0" w:firstRow="1" w:lastRow="0" w:firstColumn="1" w:lastColumn="0" w:noHBand="0" w:noVBand="1"/>
            </w:tblPr>
            <w:tblGrid>
              <w:gridCol w:w="1455"/>
              <w:gridCol w:w="5726"/>
            </w:tblGrid>
            <w:tr w:rsidR="00E6091E" w14:paraId="371BD5B3" w14:textId="77777777">
              <w:trPr>
                <w:trHeight w:val="285"/>
              </w:trPr>
              <w:tc>
                <w:tcPr>
                  <w:tcW w:w="1013" w:type="pct"/>
                  <w:noWrap/>
                  <w:vAlign w:val="bottom"/>
                </w:tcPr>
                <w:p w14:paraId="6DA5F035" w14:textId="77777777" w:rsidR="00E6091E" w:rsidRDefault="00933721">
                  <w:pPr>
                    <w:spacing w:line="276" w:lineRule="auto"/>
                    <w:rPr>
                      <w:rFonts w:ascii="Arial" w:hAnsi="Arial" w:cs="Arial"/>
                      <w:sz w:val="24"/>
                    </w:rPr>
                  </w:pPr>
                  <w:r>
                    <w:rPr>
                      <w:rFonts w:ascii="Arial" w:hAnsi="Arial" w:cs="Arial" w:hint="eastAsia"/>
                      <w:sz w:val="24"/>
                    </w:rPr>
                    <w:t>周天育</w:t>
                  </w:r>
                </w:p>
              </w:tc>
              <w:tc>
                <w:tcPr>
                  <w:tcW w:w="3986" w:type="pct"/>
                  <w:noWrap/>
                  <w:vAlign w:val="center"/>
                </w:tcPr>
                <w:p w14:paraId="11FD225C" w14:textId="77777777" w:rsidR="00E6091E" w:rsidRDefault="00933721">
                  <w:pPr>
                    <w:spacing w:line="276" w:lineRule="auto"/>
                    <w:rPr>
                      <w:rFonts w:ascii="Arial" w:hAnsi="Arial" w:cs="Arial"/>
                      <w:sz w:val="24"/>
                    </w:rPr>
                  </w:pPr>
                  <w:r>
                    <w:rPr>
                      <w:rFonts w:ascii="Arial" w:hAnsi="Arial" w:cs="Arial" w:hint="eastAsia"/>
                      <w:sz w:val="24"/>
                    </w:rPr>
                    <w:t>总经理</w:t>
                  </w:r>
                </w:p>
              </w:tc>
            </w:tr>
            <w:tr w:rsidR="00E6091E" w14:paraId="5C691AD9" w14:textId="77777777">
              <w:trPr>
                <w:trHeight w:val="285"/>
              </w:trPr>
              <w:tc>
                <w:tcPr>
                  <w:tcW w:w="1013" w:type="pct"/>
                  <w:noWrap/>
                  <w:vAlign w:val="bottom"/>
                </w:tcPr>
                <w:p w14:paraId="41E2094C" w14:textId="77777777" w:rsidR="00E6091E" w:rsidRDefault="00933721">
                  <w:pPr>
                    <w:spacing w:line="276" w:lineRule="auto"/>
                    <w:rPr>
                      <w:rFonts w:ascii="Arial" w:hAnsi="Arial" w:cs="Arial"/>
                      <w:sz w:val="24"/>
                    </w:rPr>
                  </w:pPr>
                  <w:r>
                    <w:rPr>
                      <w:rFonts w:ascii="Arial" w:hAnsi="Arial" w:cs="Arial" w:hint="eastAsia"/>
                      <w:sz w:val="24"/>
                    </w:rPr>
                    <w:t>宗文龙</w:t>
                  </w:r>
                </w:p>
              </w:tc>
              <w:tc>
                <w:tcPr>
                  <w:tcW w:w="3986" w:type="pct"/>
                  <w:noWrap/>
                  <w:vAlign w:val="center"/>
                </w:tcPr>
                <w:p w14:paraId="178B7736" w14:textId="77777777" w:rsidR="00E6091E" w:rsidRDefault="00933721">
                  <w:pPr>
                    <w:spacing w:line="276" w:lineRule="auto"/>
                    <w:rPr>
                      <w:rFonts w:ascii="Arial" w:hAnsi="Arial" w:cs="Arial"/>
                      <w:sz w:val="24"/>
                    </w:rPr>
                  </w:pPr>
                  <w:r>
                    <w:rPr>
                      <w:rFonts w:ascii="Arial" w:hAnsi="Arial" w:cs="Arial" w:hint="eastAsia"/>
                      <w:sz w:val="24"/>
                    </w:rPr>
                    <w:t>独立董事</w:t>
                  </w:r>
                </w:p>
              </w:tc>
            </w:tr>
            <w:tr w:rsidR="00E6091E" w14:paraId="6857E23C" w14:textId="77777777">
              <w:trPr>
                <w:trHeight w:val="285"/>
              </w:trPr>
              <w:tc>
                <w:tcPr>
                  <w:tcW w:w="1013" w:type="pct"/>
                  <w:noWrap/>
                  <w:vAlign w:val="bottom"/>
                </w:tcPr>
                <w:p w14:paraId="4737D491" w14:textId="77777777" w:rsidR="00E6091E" w:rsidRDefault="00933721">
                  <w:pPr>
                    <w:spacing w:line="276" w:lineRule="auto"/>
                    <w:rPr>
                      <w:rFonts w:ascii="Arial" w:hAnsi="Arial" w:cs="Arial"/>
                      <w:sz w:val="24"/>
                    </w:rPr>
                  </w:pPr>
                  <w:r>
                    <w:rPr>
                      <w:rFonts w:ascii="Arial" w:hAnsi="Arial" w:cs="Arial" w:hint="eastAsia"/>
                      <w:sz w:val="24"/>
                    </w:rPr>
                    <w:t>种晓洁</w:t>
                  </w:r>
                </w:p>
              </w:tc>
              <w:tc>
                <w:tcPr>
                  <w:tcW w:w="3986" w:type="pct"/>
                  <w:noWrap/>
                  <w:vAlign w:val="center"/>
                </w:tcPr>
                <w:p w14:paraId="43E2A16E" w14:textId="77777777" w:rsidR="00E6091E" w:rsidRDefault="00933721">
                  <w:pPr>
                    <w:spacing w:line="276" w:lineRule="auto"/>
                    <w:rPr>
                      <w:rFonts w:ascii="Arial" w:hAnsi="Arial" w:cs="Arial"/>
                      <w:sz w:val="24"/>
                    </w:rPr>
                  </w:pPr>
                  <w:r>
                    <w:rPr>
                      <w:rFonts w:ascii="Arial" w:hAnsi="Arial" w:cs="Arial" w:hint="eastAsia"/>
                      <w:sz w:val="24"/>
                    </w:rPr>
                    <w:t>财务总监</w:t>
                  </w:r>
                </w:p>
              </w:tc>
            </w:tr>
            <w:tr w:rsidR="00E6091E" w14:paraId="7EF40B5F" w14:textId="77777777">
              <w:trPr>
                <w:trHeight w:val="285"/>
              </w:trPr>
              <w:tc>
                <w:tcPr>
                  <w:tcW w:w="1013" w:type="pct"/>
                  <w:noWrap/>
                  <w:vAlign w:val="bottom"/>
                </w:tcPr>
                <w:p w14:paraId="0E8EF982" w14:textId="77777777" w:rsidR="00E6091E" w:rsidRDefault="00933721">
                  <w:pPr>
                    <w:spacing w:line="276" w:lineRule="auto"/>
                    <w:rPr>
                      <w:rFonts w:ascii="Arial" w:hAnsi="Arial" w:cs="Arial"/>
                      <w:sz w:val="24"/>
                    </w:rPr>
                  </w:pPr>
                  <w:r>
                    <w:rPr>
                      <w:rFonts w:ascii="Arial" w:hAnsi="Arial" w:cs="Arial" w:hint="eastAsia"/>
                      <w:sz w:val="24"/>
                    </w:rPr>
                    <w:t>肖德斌</w:t>
                  </w:r>
                </w:p>
              </w:tc>
              <w:tc>
                <w:tcPr>
                  <w:tcW w:w="3986" w:type="pct"/>
                  <w:noWrap/>
                  <w:vAlign w:val="center"/>
                </w:tcPr>
                <w:p w14:paraId="1E069E4F" w14:textId="77777777" w:rsidR="00E6091E" w:rsidRDefault="00933721">
                  <w:pPr>
                    <w:spacing w:line="276" w:lineRule="auto"/>
                    <w:rPr>
                      <w:rFonts w:ascii="Arial" w:hAnsi="Arial" w:cs="Arial"/>
                      <w:sz w:val="24"/>
                    </w:rPr>
                  </w:pPr>
                  <w:r>
                    <w:rPr>
                      <w:rFonts w:ascii="Arial" w:hAnsi="Arial" w:cs="Arial" w:hint="eastAsia"/>
                      <w:sz w:val="24"/>
                    </w:rPr>
                    <w:t>董事会秘书、总法律顾问</w:t>
                  </w:r>
                </w:p>
              </w:tc>
            </w:tr>
          </w:tbl>
          <w:p w14:paraId="73653112" w14:textId="77777777" w:rsidR="00E6091E" w:rsidRDefault="00E6091E">
            <w:pPr>
              <w:spacing w:line="276" w:lineRule="auto"/>
              <w:rPr>
                <w:rFonts w:ascii="Arial" w:hAnsi="Arial" w:cs="Arial"/>
                <w:sz w:val="24"/>
              </w:rPr>
            </w:pPr>
          </w:p>
        </w:tc>
      </w:tr>
      <w:tr w:rsidR="00E6091E" w14:paraId="19B6CF24" w14:textId="77777777">
        <w:tc>
          <w:tcPr>
            <w:tcW w:w="646" w:type="pct"/>
            <w:tcBorders>
              <w:top w:val="single" w:sz="4" w:space="0" w:color="auto"/>
              <w:left w:val="single" w:sz="4" w:space="0" w:color="auto"/>
              <w:bottom w:val="single" w:sz="4" w:space="0" w:color="auto"/>
              <w:right w:val="single" w:sz="4" w:space="0" w:color="auto"/>
            </w:tcBorders>
            <w:vAlign w:val="center"/>
          </w:tcPr>
          <w:p w14:paraId="22E3AE08" w14:textId="77777777" w:rsidR="00E6091E" w:rsidRDefault="00933721">
            <w:pPr>
              <w:spacing w:line="360" w:lineRule="auto"/>
              <w:jc w:val="center"/>
              <w:rPr>
                <w:rFonts w:ascii="Arial" w:hAnsi="Arial"/>
                <w:bCs/>
                <w:sz w:val="24"/>
              </w:rPr>
            </w:pPr>
            <w:r>
              <w:rPr>
                <w:rFonts w:ascii="Arial" w:hAnsi="Arial" w:hint="eastAsia"/>
                <w:bCs/>
                <w:sz w:val="24"/>
              </w:rPr>
              <w:t>投资者关系活动主要内容介绍</w:t>
            </w:r>
          </w:p>
        </w:tc>
        <w:tc>
          <w:tcPr>
            <w:tcW w:w="4353" w:type="pct"/>
            <w:tcBorders>
              <w:top w:val="single" w:sz="4" w:space="0" w:color="auto"/>
              <w:left w:val="single" w:sz="4" w:space="0" w:color="auto"/>
              <w:bottom w:val="single" w:sz="4" w:space="0" w:color="auto"/>
              <w:right w:val="single" w:sz="4" w:space="0" w:color="auto"/>
            </w:tcBorders>
            <w:vAlign w:val="center"/>
          </w:tcPr>
          <w:p w14:paraId="13982B25" w14:textId="77777777" w:rsidR="00E6091E" w:rsidRDefault="00933721">
            <w:bookmarkStart w:id="0" w:name="_Toc2358"/>
            <w:r>
              <w:t>Q</w:t>
            </w:r>
            <w:r>
              <w:rPr>
                <w:rFonts w:hint="eastAsia"/>
              </w:rPr>
              <w:t>1</w:t>
            </w:r>
            <w:r>
              <w:t>：</w:t>
            </w:r>
            <w:bookmarkEnd w:id="0"/>
            <w:r w:rsidR="001D3E98" w:rsidRPr="001D3E98">
              <w:rPr>
                <w:rFonts w:hint="eastAsia"/>
              </w:rPr>
              <w:t>2025</w:t>
            </w:r>
            <w:r w:rsidR="001D3E98" w:rsidRPr="001D3E98">
              <w:rPr>
                <w:rFonts w:hint="eastAsia"/>
              </w:rPr>
              <w:t>年，公司在发展新质生产力，加快培育战新产业方面有哪些成果？</w:t>
            </w:r>
          </w:p>
          <w:p w14:paraId="4FBBF3CC" w14:textId="284562FD" w:rsidR="00E6091E" w:rsidRDefault="00933721">
            <w:r>
              <w:t>A</w:t>
            </w:r>
            <w:r>
              <w:rPr>
                <w:rFonts w:hint="eastAsia"/>
              </w:rPr>
              <w:t>1</w:t>
            </w:r>
            <w:r w:rsidR="00A66241">
              <w:t>：</w:t>
            </w:r>
            <w:r w:rsidR="006D6A12" w:rsidRPr="006D6A12">
              <w:rPr>
                <w:rFonts w:hint="eastAsia"/>
              </w:rPr>
              <w:t>2025</w:t>
            </w:r>
            <w:r w:rsidR="006D6A12" w:rsidRPr="006D6A12">
              <w:rPr>
                <w:rFonts w:hint="eastAsia"/>
              </w:rPr>
              <w:t>年，公司全年永磁电泵入井</w:t>
            </w:r>
            <w:r w:rsidR="006D6A12" w:rsidRPr="006D6A12">
              <w:rPr>
                <w:rFonts w:hint="eastAsia"/>
              </w:rPr>
              <w:t>400</w:t>
            </w:r>
            <w:r w:rsidR="006D6A12" w:rsidRPr="006D6A12">
              <w:rPr>
                <w:rFonts w:hint="eastAsia"/>
              </w:rPr>
              <w:t>套，同比增加</w:t>
            </w:r>
            <w:r w:rsidR="006D6A12" w:rsidRPr="006D6A12">
              <w:rPr>
                <w:rFonts w:hint="eastAsia"/>
              </w:rPr>
              <w:t>29%</w:t>
            </w:r>
            <w:r w:rsidR="006D6A12" w:rsidRPr="006D6A12">
              <w:rPr>
                <w:rFonts w:hint="eastAsia"/>
              </w:rPr>
              <w:t>；自主成撬制造的我国首台</w:t>
            </w:r>
            <w:r w:rsidR="006D6A12" w:rsidRPr="006D6A12">
              <w:rPr>
                <w:rFonts w:hint="eastAsia"/>
              </w:rPr>
              <w:t>1.8MW</w:t>
            </w:r>
            <w:r w:rsidR="006D6A12" w:rsidRPr="006D6A12">
              <w:rPr>
                <w:rFonts w:hint="eastAsia"/>
              </w:rPr>
              <w:t>级国产燃气轮机机组和</w:t>
            </w:r>
            <w:r w:rsidR="006D6A12" w:rsidRPr="006D6A12">
              <w:rPr>
                <w:rFonts w:hint="eastAsia"/>
              </w:rPr>
              <w:t>10MW</w:t>
            </w:r>
            <w:r w:rsidR="006D6A12" w:rsidRPr="006D6A12">
              <w:rPr>
                <w:rFonts w:hint="eastAsia"/>
              </w:rPr>
              <w:t>燃驱压缩机成功交付。</w:t>
            </w:r>
            <w:r w:rsidR="006D6A12" w:rsidRPr="006D6A12">
              <w:rPr>
                <w:rFonts w:hint="eastAsia"/>
              </w:rPr>
              <w:t>2</w:t>
            </w:r>
            <w:r w:rsidR="006D6A12" w:rsidRPr="006D6A12">
              <w:rPr>
                <w:rFonts w:hint="eastAsia"/>
              </w:rPr>
              <w:t>艘高速风电运维船投入运营，自研的全球首台套兆瓦级电解海水制氢装置，示范运行</w:t>
            </w:r>
            <w:r w:rsidR="006D6A12" w:rsidRPr="006D6A12">
              <w:rPr>
                <w:rFonts w:hint="eastAsia"/>
              </w:rPr>
              <w:t>3000</w:t>
            </w:r>
            <w:r w:rsidR="006D6A12" w:rsidRPr="006D6A12">
              <w:rPr>
                <w:rFonts w:hint="eastAsia"/>
              </w:rPr>
              <w:t>小时。建成国内规模最大的海上“</w:t>
            </w:r>
            <w:r w:rsidR="006D6A12" w:rsidRPr="006D6A12">
              <w:rPr>
                <w:rFonts w:hint="eastAsia"/>
              </w:rPr>
              <w:t>5G</w:t>
            </w:r>
            <w:r w:rsidR="006D6A12" w:rsidRPr="006D6A12">
              <w:rPr>
                <w:rFonts w:hint="eastAsia"/>
              </w:rPr>
              <w:t>公网</w:t>
            </w:r>
            <w:r w:rsidR="006D6A12" w:rsidRPr="006D6A12">
              <w:rPr>
                <w:rFonts w:hint="eastAsia"/>
              </w:rPr>
              <w:t>+</w:t>
            </w:r>
            <w:r w:rsidR="006D6A12" w:rsidRPr="006D6A12">
              <w:rPr>
                <w:rFonts w:hint="eastAsia"/>
              </w:rPr>
              <w:t>专网”混合网络，奠定了海上全域通信的领先地位。在新材料领域围绕无机功能材料、功能膜材料、高附加值化工单体等重点方向</w:t>
            </w:r>
            <w:r w:rsidR="004E7007">
              <w:rPr>
                <w:rFonts w:hint="eastAsia"/>
              </w:rPr>
              <w:t>，</w:t>
            </w:r>
            <w:r w:rsidR="006D6A12" w:rsidRPr="006D6A12">
              <w:rPr>
                <w:rFonts w:hint="eastAsia"/>
              </w:rPr>
              <w:t>实现</w:t>
            </w:r>
            <w:r w:rsidR="006D6A12" w:rsidRPr="006D6A12">
              <w:rPr>
                <w:rFonts w:hint="eastAsia"/>
              </w:rPr>
              <w:t>8</w:t>
            </w:r>
            <w:r w:rsidR="006D6A12" w:rsidRPr="006D6A12">
              <w:rPr>
                <w:rFonts w:hint="eastAsia"/>
              </w:rPr>
              <w:t>项技术工业应用。自主研发的膜法脱碳技术成功应用，柴油吸附分离成套技术连续刷新同类装置最大规模纪录。</w:t>
            </w:r>
          </w:p>
          <w:p w14:paraId="7884AC47" w14:textId="77777777" w:rsidR="00E6091E" w:rsidRDefault="00E6091E"/>
          <w:p w14:paraId="14D21176" w14:textId="77777777" w:rsidR="00E6091E" w:rsidRDefault="00933721">
            <w:bookmarkStart w:id="1" w:name="_Toc22235"/>
            <w:r>
              <w:t>Q</w:t>
            </w:r>
            <w:r>
              <w:rPr>
                <w:rFonts w:hint="eastAsia"/>
              </w:rPr>
              <w:t>2</w:t>
            </w:r>
            <w:r>
              <w:t>：</w:t>
            </w:r>
            <w:bookmarkEnd w:id="1"/>
            <w:r w:rsidR="006D6A12" w:rsidRPr="006D6A12">
              <w:rPr>
                <w:rFonts w:hint="eastAsia"/>
              </w:rPr>
              <w:t>2025</w:t>
            </w:r>
            <w:r w:rsidR="006D6A12" w:rsidRPr="006D6A12">
              <w:rPr>
                <w:rFonts w:hint="eastAsia"/>
              </w:rPr>
              <w:t>年，在全球原油市场持续波动，公司的营业收入有所减少，但归母净利润实现</w:t>
            </w:r>
            <w:r w:rsidR="006D6A12" w:rsidRPr="006D6A12">
              <w:rPr>
                <w:rFonts w:hint="eastAsia"/>
              </w:rPr>
              <w:t>6.24%</w:t>
            </w:r>
            <w:r w:rsidR="006D6A12" w:rsidRPr="006D6A12">
              <w:rPr>
                <w:rFonts w:hint="eastAsia"/>
              </w:rPr>
              <w:t>的增长，达到</w:t>
            </w:r>
            <w:r w:rsidR="006D6A12" w:rsidRPr="006D6A12">
              <w:rPr>
                <w:rFonts w:hint="eastAsia"/>
              </w:rPr>
              <w:t>38.84</w:t>
            </w:r>
            <w:r w:rsidR="006D6A12" w:rsidRPr="006D6A12">
              <w:rPr>
                <w:rFonts w:hint="eastAsia"/>
              </w:rPr>
              <w:t>亿元，请问公司如何实现盈利质量的持续提高？</w:t>
            </w:r>
          </w:p>
          <w:p w14:paraId="59F4A479" w14:textId="77777777" w:rsidR="00E6091E" w:rsidRDefault="00933721" w:rsidP="009E0F4E">
            <w:r>
              <w:t>A</w:t>
            </w:r>
            <w:r>
              <w:rPr>
                <w:rFonts w:hint="eastAsia"/>
              </w:rPr>
              <w:t>2</w:t>
            </w:r>
            <w:r>
              <w:rPr>
                <w:rFonts w:hint="eastAsia"/>
              </w:rPr>
              <w:t>：</w:t>
            </w:r>
            <w:r w:rsidR="006D6A12" w:rsidRPr="006D6A12">
              <w:rPr>
                <w:rFonts w:hint="eastAsia"/>
              </w:rPr>
              <w:t>2025</w:t>
            </w:r>
            <w:r w:rsidR="006D6A12" w:rsidRPr="006D6A12">
              <w:rPr>
                <w:rFonts w:hint="eastAsia"/>
              </w:rPr>
              <w:t>年公司实现营业收入</w:t>
            </w:r>
            <w:r w:rsidR="006D6A12" w:rsidRPr="006D6A12">
              <w:rPr>
                <w:rFonts w:hint="eastAsia"/>
              </w:rPr>
              <w:t>503.63</w:t>
            </w:r>
            <w:r w:rsidR="006D6A12" w:rsidRPr="006D6A12">
              <w:rPr>
                <w:rFonts w:hint="eastAsia"/>
              </w:rPr>
              <w:t>亿元，较去年同期有所下降，主要是受公司部分商品销售业务价格随国际油价下跌的影响。同时，公司有序退出部分低效微利业务，推动公司资源更加聚焦投入到优势主业。此外，近年来公司践行成本领先战略，持续推动降本增效工作，搭建以全面预算为核心的成本管控模型，从产业、投资、采办、外包等方面对成本进行重点管控。</w:t>
            </w:r>
            <w:r w:rsidR="006D6A12" w:rsidRPr="006D6A12">
              <w:rPr>
                <w:rFonts w:hint="eastAsia"/>
              </w:rPr>
              <w:t>2025</w:t>
            </w:r>
            <w:r w:rsidR="006D6A12" w:rsidRPr="006D6A12">
              <w:rPr>
                <w:rFonts w:hint="eastAsia"/>
              </w:rPr>
              <w:t>年，公司毛利率达到</w:t>
            </w:r>
            <w:r w:rsidR="006D6A12" w:rsidRPr="006D6A12">
              <w:rPr>
                <w:rFonts w:hint="eastAsia"/>
              </w:rPr>
              <w:t>16.09%</w:t>
            </w:r>
            <w:r w:rsidR="006D6A12" w:rsidRPr="006D6A12">
              <w:rPr>
                <w:rFonts w:hint="eastAsia"/>
              </w:rPr>
              <w:t>，同比提升</w:t>
            </w:r>
            <w:r w:rsidR="006D6A12" w:rsidRPr="006D6A12">
              <w:rPr>
                <w:rFonts w:hint="eastAsia"/>
              </w:rPr>
              <w:t>1.47</w:t>
            </w:r>
            <w:r w:rsidR="006D6A12" w:rsidRPr="006D6A12">
              <w:rPr>
                <w:rFonts w:hint="eastAsia"/>
              </w:rPr>
              <w:t>个百分点，以自身成本管控的确定性积极应对市场的不确定，不断夯实高质量发展基础。</w:t>
            </w:r>
          </w:p>
          <w:p w14:paraId="1956902C" w14:textId="77777777" w:rsidR="00E6091E" w:rsidRDefault="00E6091E">
            <w:pPr>
              <w:pStyle w:val="a0"/>
            </w:pPr>
          </w:p>
          <w:p w14:paraId="28E5B623" w14:textId="77777777" w:rsidR="00E6091E" w:rsidRDefault="00933721">
            <w:bookmarkStart w:id="2" w:name="_Toc20548"/>
            <w:r>
              <w:t>Q</w:t>
            </w:r>
            <w:r>
              <w:rPr>
                <w:rFonts w:hint="eastAsia"/>
              </w:rPr>
              <w:t>3</w:t>
            </w:r>
            <w:r>
              <w:t>：</w:t>
            </w:r>
            <w:bookmarkEnd w:id="2"/>
            <w:r w:rsidR="006D6A12" w:rsidRPr="006D6A12">
              <w:rPr>
                <w:rFonts w:hint="eastAsia"/>
              </w:rPr>
              <w:t>2025</w:t>
            </w:r>
            <w:r w:rsidR="006D6A12" w:rsidRPr="006D6A12">
              <w:rPr>
                <w:rFonts w:hint="eastAsia"/>
              </w:rPr>
              <w:t>年，公司的研发投入同比有较大幅度增长，请问研发投入变动的核心原因以及重点投入方向是什么？</w:t>
            </w:r>
          </w:p>
          <w:p w14:paraId="0F892181" w14:textId="77777777" w:rsidR="00E6091E" w:rsidRDefault="00933721">
            <w:r>
              <w:t>A</w:t>
            </w:r>
            <w:r>
              <w:rPr>
                <w:rFonts w:hint="eastAsia"/>
              </w:rPr>
              <w:t>3</w:t>
            </w:r>
            <w:r>
              <w:t>：</w:t>
            </w:r>
            <w:r w:rsidR="006D6A12" w:rsidRPr="006D6A12">
              <w:rPr>
                <w:rFonts w:hint="eastAsia"/>
              </w:rPr>
              <w:t>公司于</w:t>
            </w:r>
            <w:r w:rsidR="006D6A12" w:rsidRPr="006D6A12">
              <w:rPr>
                <w:rFonts w:hint="eastAsia"/>
              </w:rPr>
              <w:t>2025</w:t>
            </w:r>
            <w:r w:rsidR="006D6A12" w:rsidRPr="006D6A12">
              <w:rPr>
                <w:rFonts w:hint="eastAsia"/>
              </w:rPr>
              <w:t>年启动科技改革专项行动，实施科技投入倍增计划。</w:t>
            </w:r>
            <w:r w:rsidR="006D6A12" w:rsidRPr="006D6A12">
              <w:rPr>
                <w:rFonts w:hint="eastAsia"/>
              </w:rPr>
              <w:t>2025</w:t>
            </w:r>
            <w:r w:rsidR="006D6A12" w:rsidRPr="006D6A12">
              <w:rPr>
                <w:rFonts w:hint="eastAsia"/>
              </w:rPr>
              <w:t>年，公司的研发投入</w:t>
            </w:r>
            <w:r w:rsidR="006D6A12" w:rsidRPr="006D6A12">
              <w:rPr>
                <w:rFonts w:hint="eastAsia"/>
              </w:rPr>
              <w:t>12.53</w:t>
            </w:r>
            <w:r w:rsidR="006D6A12" w:rsidRPr="006D6A12">
              <w:rPr>
                <w:rFonts w:hint="eastAsia"/>
              </w:rPr>
              <w:t>亿元，同比增长</w:t>
            </w:r>
            <w:r w:rsidR="006D6A12" w:rsidRPr="006D6A12">
              <w:rPr>
                <w:rFonts w:hint="eastAsia"/>
              </w:rPr>
              <w:t>26.95%</w:t>
            </w:r>
            <w:r w:rsidR="006D6A12" w:rsidRPr="006D6A12">
              <w:rPr>
                <w:rFonts w:hint="eastAsia"/>
              </w:rPr>
              <w:t>。投入方向上，公司坚持聚焦主</w:t>
            </w:r>
            <w:r w:rsidR="006D6A12" w:rsidRPr="006D6A12">
              <w:rPr>
                <w:rFonts w:hint="eastAsia"/>
              </w:rPr>
              <w:lastRenderedPageBreak/>
              <w:t>责主业，在能源技术服务板块投入超过</w:t>
            </w:r>
            <w:r w:rsidR="006D6A12" w:rsidRPr="006D6A12">
              <w:rPr>
                <w:rFonts w:hint="eastAsia"/>
              </w:rPr>
              <w:t>60%</w:t>
            </w:r>
            <w:r w:rsidR="006D6A12" w:rsidRPr="006D6A12">
              <w:rPr>
                <w:rFonts w:hint="eastAsia"/>
              </w:rPr>
              <w:t>，围绕水下装备设施、智能注采、化学品、高端材料等领域布局了一批重大研发项目。除此之外，公司依托现有技术基础，在海洋能源新质生产力培育、战略性新兴产业突破等关键方向，持续加大研发资源、人才、资金的倾斜力度。</w:t>
            </w:r>
          </w:p>
          <w:p w14:paraId="1AD6FB9A" w14:textId="77777777" w:rsidR="00E6091E" w:rsidRDefault="00E6091E"/>
          <w:p w14:paraId="447EFD17" w14:textId="77777777" w:rsidR="00E6091E" w:rsidRDefault="00933721">
            <w:pPr>
              <w:pStyle w:val="a0"/>
            </w:pPr>
            <w:r>
              <w:t>Q4</w:t>
            </w:r>
            <w:r>
              <w:t>：</w:t>
            </w:r>
            <w:r w:rsidR="006D6A12" w:rsidRPr="006D6A12">
              <w:rPr>
                <w:rFonts w:hint="eastAsia"/>
              </w:rPr>
              <w:t>关注到公司</w:t>
            </w:r>
            <w:r w:rsidR="006D6A12" w:rsidRPr="006D6A12">
              <w:rPr>
                <w:rFonts w:hint="eastAsia"/>
              </w:rPr>
              <w:t>2025</w:t>
            </w:r>
            <w:r w:rsidR="006D6A12" w:rsidRPr="006D6A12">
              <w:rPr>
                <w:rFonts w:hint="eastAsia"/>
              </w:rPr>
              <w:t>年第四季度，当季营业收入同比下降</w:t>
            </w:r>
            <w:r w:rsidR="006D6A12" w:rsidRPr="006D6A12">
              <w:rPr>
                <w:rFonts w:hint="eastAsia"/>
              </w:rPr>
              <w:t>13%</w:t>
            </w:r>
            <w:r w:rsidR="006D6A12" w:rsidRPr="006D6A12">
              <w:rPr>
                <w:rFonts w:hint="eastAsia"/>
              </w:rPr>
              <w:t>，扣非归母净利润同比降低</w:t>
            </w:r>
            <w:r w:rsidR="006D6A12" w:rsidRPr="006D6A12">
              <w:rPr>
                <w:rFonts w:hint="eastAsia"/>
              </w:rPr>
              <w:t>19%</w:t>
            </w:r>
            <w:r w:rsidR="006D6A12" w:rsidRPr="006D6A12">
              <w:rPr>
                <w:rFonts w:hint="eastAsia"/>
              </w:rPr>
              <w:t>，请问四季度公司经营情况为何会出现如此大的波动？</w:t>
            </w:r>
          </w:p>
          <w:p w14:paraId="56C03365" w14:textId="35712D42" w:rsidR="00E6091E" w:rsidRDefault="00933721">
            <w:pPr>
              <w:pStyle w:val="a0"/>
            </w:pPr>
            <w:r>
              <w:t>A4</w:t>
            </w:r>
            <w:r>
              <w:t>：</w:t>
            </w:r>
            <w:r w:rsidR="006D6A12" w:rsidRPr="006D6A12">
              <w:rPr>
                <w:rFonts w:hint="eastAsia"/>
              </w:rPr>
              <w:t>公司所处油田技术服务行业具有明显的季节性特征，一季度收入利润占比偏低，二、三季度收入利润占比相对均衡，四季度收入利润占比偏高。</w:t>
            </w:r>
            <w:r w:rsidR="006D6A12" w:rsidRPr="006D6A12">
              <w:rPr>
                <w:rFonts w:hint="eastAsia"/>
              </w:rPr>
              <w:t>2025</w:t>
            </w:r>
            <w:r w:rsidR="006D6A12" w:rsidRPr="006D6A12">
              <w:rPr>
                <w:rFonts w:hint="eastAsia"/>
              </w:rPr>
              <w:t>年第四季度公司营业收入同比下降</w:t>
            </w:r>
            <w:r w:rsidR="006D6A12" w:rsidRPr="006D6A12">
              <w:rPr>
                <w:rFonts w:hint="eastAsia"/>
              </w:rPr>
              <w:t>12.88%</w:t>
            </w:r>
            <w:r w:rsidR="006D6A12" w:rsidRPr="006D6A12">
              <w:rPr>
                <w:rFonts w:hint="eastAsia"/>
              </w:rPr>
              <w:t>、扣非归母净利润同比下降</w:t>
            </w:r>
            <w:r w:rsidR="006D6A12" w:rsidRPr="006D6A12">
              <w:rPr>
                <w:rFonts w:hint="eastAsia"/>
              </w:rPr>
              <w:t>19.30%</w:t>
            </w:r>
            <w:r w:rsidR="006D6A12" w:rsidRPr="006D6A12">
              <w:rPr>
                <w:rFonts w:hint="eastAsia"/>
              </w:rPr>
              <w:t>，主要是受行业环境变化、战略投入加大等多重因素叠加影响。一方面，</w:t>
            </w:r>
            <w:r w:rsidR="006D6A12" w:rsidRPr="006D6A12">
              <w:rPr>
                <w:rFonts w:hint="eastAsia"/>
              </w:rPr>
              <w:t>2025</w:t>
            </w:r>
            <w:r w:rsidR="006D6A12" w:rsidRPr="006D6A12">
              <w:rPr>
                <w:rFonts w:hint="eastAsia"/>
              </w:rPr>
              <w:t>年国际油价震荡下行导致商品销售价格下行，其中第四季度处于全年最低位，公司能源物流服务产业中相关商品销售业务价格与国际油价关联度高，油价下行拉低了四季度整体营收规模。另一方面，科技研发等战略资源投入加大，第四季度是项目验收结算高峰，研发费用同比增加</w:t>
            </w:r>
            <w:r w:rsidR="006D6A12" w:rsidRPr="006D6A12">
              <w:rPr>
                <w:rFonts w:hint="eastAsia"/>
              </w:rPr>
              <w:t>2.06</w:t>
            </w:r>
            <w:r w:rsidR="006D6A12" w:rsidRPr="006D6A12">
              <w:rPr>
                <w:rFonts w:hint="eastAsia"/>
              </w:rPr>
              <w:t>亿元</w:t>
            </w:r>
            <w:r w:rsidR="00202DBA">
              <w:rPr>
                <w:rFonts w:hint="eastAsia"/>
              </w:rPr>
              <w:t>。整体来看，</w:t>
            </w:r>
            <w:r w:rsidR="006D6A12" w:rsidRPr="006D6A12">
              <w:rPr>
                <w:rFonts w:hint="eastAsia"/>
              </w:rPr>
              <w:t>尽管四季度数据出现短期波动，公司经营基本面未变，核心业务韧性与长期增长逻辑稳固。</w:t>
            </w:r>
          </w:p>
          <w:p w14:paraId="268093F1" w14:textId="77777777" w:rsidR="00E6091E" w:rsidRDefault="00E6091E">
            <w:pPr>
              <w:pStyle w:val="a0"/>
            </w:pPr>
          </w:p>
          <w:p w14:paraId="2DB84DC2" w14:textId="77777777" w:rsidR="00E6091E" w:rsidRDefault="00933721">
            <w:bookmarkStart w:id="3" w:name="_Toc22609"/>
            <w:bookmarkStart w:id="4" w:name="_Toc20529"/>
            <w:r>
              <w:t>Q5</w:t>
            </w:r>
            <w:r>
              <w:t>：</w:t>
            </w:r>
            <w:bookmarkEnd w:id="3"/>
            <w:bookmarkEnd w:id="4"/>
            <w:r w:rsidR="00CB0A19" w:rsidRPr="00CB0A19">
              <w:rPr>
                <w:rFonts w:hint="eastAsia"/>
              </w:rPr>
              <w:t>2026</w:t>
            </w:r>
            <w:r w:rsidR="00CB0A19" w:rsidRPr="00CB0A19">
              <w:rPr>
                <w:rFonts w:hint="eastAsia"/>
              </w:rPr>
              <w:t>年开年，美伊冲突加剧，国际能源市场也面临较大的不确定性，公司对今年的行业发展展望是怎样的？</w:t>
            </w:r>
          </w:p>
          <w:p w14:paraId="128BD0B7" w14:textId="77777777" w:rsidR="00E6091E" w:rsidRDefault="00933721">
            <w:r>
              <w:t>A5</w:t>
            </w:r>
            <w:r>
              <w:t>：</w:t>
            </w:r>
            <w:r w:rsidR="00CB0A19" w:rsidRPr="00CB0A19">
              <w:rPr>
                <w:rFonts w:hint="eastAsia"/>
              </w:rPr>
              <w:t>2026</w:t>
            </w:r>
            <w:r w:rsidR="00CB0A19" w:rsidRPr="00CB0A19">
              <w:rPr>
                <w:rFonts w:hint="eastAsia"/>
              </w:rPr>
              <w:t>年，地缘冲突直接冲击全球能源生产、运输全链条，引发国际能源市场剧烈波动，对于油气服务公司而言是机遇与挑战并存的一年，高油价一方面带来行业稳定需求支撑，但同时成本攀升、风险加剧、行业竞争分化等也产生挑战。整体看，具备核心技术、稳定客户资源和完善风险防控能力的油气服务公司，将在行业分化中实现突围，而缺乏核心竞争力、过度依赖低端市场的公司，将面临较大生存压力。在行业发展新形势下，公司将结合自身业务特点，进一步加快专业能力建设，持续增强产品核心竞争力与品牌软实力，不断提升国际化经营水平，抢抓市场机遇、规避潜在风险，实现高质量发展。</w:t>
            </w:r>
          </w:p>
          <w:p w14:paraId="18D2A9AA" w14:textId="77777777" w:rsidR="00E6091E" w:rsidRDefault="00E6091E"/>
          <w:p w14:paraId="64C3A68A" w14:textId="547E6C57" w:rsidR="00E6091E" w:rsidRDefault="00933721">
            <w:bookmarkStart w:id="5" w:name="_Toc20140"/>
            <w:r>
              <w:t>Q6</w:t>
            </w:r>
            <w:r>
              <w:t>：</w:t>
            </w:r>
            <w:bookmarkEnd w:id="5"/>
            <w:r w:rsidR="00CB0A19" w:rsidRPr="00CB0A19">
              <w:rPr>
                <w:rFonts w:hint="eastAsia"/>
              </w:rPr>
              <w:t>在海外地缘风险不断加剧的环境下，公司是否会持续加强海外市场拓展？</w:t>
            </w:r>
          </w:p>
          <w:p w14:paraId="40D8D66C" w14:textId="77777777" w:rsidR="00E6091E" w:rsidRDefault="00933721">
            <w:r>
              <w:t>A6</w:t>
            </w:r>
            <w:r>
              <w:t>：</w:t>
            </w:r>
            <w:r w:rsidR="00CB0A19" w:rsidRPr="00CB0A19">
              <w:rPr>
                <w:rFonts w:hint="eastAsia"/>
              </w:rPr>
              <w:t>2025</w:t>
            </w:r>
            <w:r w:rsidR="00CB0A19" w:rsidRPr="00CB0A19">
              <w:rPr>
                <w:rFonts w:hint="eastAsia"/>
              </w:rPr>
              <w:t>年，公司践行“强内拓外”的发展思路，以特色产品为抓手，加大海外市场布局和市场开拓。虽然，当前地缘环境复杂多变，但公司仍会坚定不移“走出去”。</w:t>
            </w:r>
            <w:r w:rsidR="00CB0A19" w:rsidRPr="00CB0A19">
              <w:rPr>
                <w:rFonts w:hint="eastAsia"/>
              </w:rPr>
              <w:t>2026</w:t>
            </w:r>
            <w:r w:rsidR="00CB0A19" w:rsidRPr="00CB0A19">
              <w:rPr>
                <w:rFonts w:hint="eastAsia"/>
              </w:rPr>
              <w:t>年，公司将聚焦重点国别和重大项目，稳步提升国际化经营水平。加强策略谋划，提升海外资源配置和项目履约能力，同时，公司将抓好境外合规风险管控，持续关注业务所在国的政治、经济、法律及社会风险，制定周密预案，确保公司在复杂多变的国际环境中行稳致远。</w:t>
            </w:r>
          </w:p>
          <w:p w14:paraId="59A6C25A" w14:textId="77777777" w:rsidR="00E6091E" w:rsidRDefault="00E6091E"/>
          <w:p w14:paraId="6D7ADDB8" w14:textId="77777777" w:rsidR="00E6091E" w:rsidRDefault="00933721">
            <w:r>
              <w:rPr>
                <w:rFonts w:hint="eastAsia"/>
              </w:rPr>
              <w:t>Q7</w:t>
            </w:r>
            <w:r>
              <w:rPr>
                <w:rFonts w:hint="eastAsia"/>
              </w:rPr>
              <w:t>：</w:t>
            </w:r>
            <w:r w:rsidR="00CB0A19" w:rsidRPr="00CB0A19">
              <w:rPr>
                <w:rFonts w:hint="eastAsia"/>
              </w:rPr>
              <w:t>截至</w:t>
            </w:r>
            <w:r w:rsidR="00CB0A19" w:rsidRPr="00CB0A19">
              <w:rPr>
                <w:rFonts w:hint="eastAsia"/>
              </w:rPr>
              <w:t>2025</w:t>
            </w:r>
            <w:r w:rsidR="00CB0A19" w:rsidRPr="00CB0A19">
              <w:rPr>
                <w:rFonts w:hint="eastAsia"/>
              </w:rPr>
              <w:t>年</w:t>
            </w:r>
            <w:r w:rsidR="00CB0A19" w:rsidRPr="00CB0A19">
              <w:rPr>
                <w:rFonts w:hint="eastAsia"/>
              </w:rPr>
              <w:t>12</w:t>
            </w:r>
            <w:r w:rsidR="00CB0A19" w:rsidRPr="00CB0A19">
              <w:rPr>
                <w:rFonts w:hint="eastAsia"/>
              </w:rPr>
              <w:t>月</w:t>
            </w:r>
            <w:r w:rsidR="00CB0A19" w:rsidRPr="00CB0A19">
              <w:rPr>
                <w:rFonts w:hint="eastAsia"/>
              </w:rPr>
              <w:t>31</w:t>
            </w:r>
            <w:r w:rsidR="00CB0A19" w:rsidRPr="00CB0A19">
              <w:rPr>
                <w:rFonts w:hint="eastAsia"/>
              </w:rPr>
              <w:t>日，公司货币资金</w:t>
            </w:r>
            <w:r w:rsidR="00CB0A19" w:rsidRPr="00CB0A19">
              <w:rPr>
                <w:rFonts w:hint="eastAsia"/>
              </w:rPr>
              <w:t>86.12</w:t>
            </w:r>
            <w:r w:rsidR="00CB0A19" w:rsidRPr="00CB0A19">
              <w:rPr>
                <w:rFonts w:hint="eastAsia"/>
              </w:rPr>
              <w:t>亿，长期借款</w:t>
            </w:r>
            <w:r w:rsidR="00CB0A19" w:rsidRPr="00CB0A19">
              <w:rPr>
                <w:rFonts w:hint="eastAsia"/>
              </w:rPr>
              <w:t>23.61</w:t>
            </w:r>
            <w:r w:rsidR="00CB0A19" w:rsidRPr="00CB0A19">
              <w:rPr>
                <w:rFonts w:hint="eastAsia"/>
              </w:rPr>
              <w:t>亿。请问一下，公司出于什么考虑，在货币资金这么充足的情况下，还存在大额的长期贷款？</w:t>
            </w:r>
          </w:p>
          <w:p w14:paraId="1D98D2AF" w14:textId="282F2D98" w:rsidR="00E6091E" w:rsidRDefault="00933721" w:rsidP="009E0F4E">
            <w:r>
              <w:t>A</w:t>
            </w:r>
            <w:r>
              <w:rPr>
                <w:rFonts w:hint="eastAsia"/>
              </w:rPr>
              <w:t>7</w:t>
            </w:r>
            <w:r>
              <w:t>：</w:t>
            </w:r>
            <w:r w:rsidR="00CB0A19" w:rsidRPr="00CB0A19">
              <w:rPr>
                <w:rFonts w:hint="eastAsia"/>
              </w:rPr>
              <w:t>结合公司经营战略，</w:t>
            </w:r>
            <w:r w:rsidR="00CC207C">
              <w:rPr>
                <w:rFonts w:hint="eastAsia"/>
              </w:rPr>
              <w:t>公司主要</w:t>
            </w:r>
            <w:r w:rsidR="00CB0A19" w:rsidRPr="00CB0A19">
              <w:rPr>
                <w:rFonts w:hint="eastAsia"/>
              </w:rPr>
              <w:t>从资金用途匹配、成本优化、经营安全储备三个维度</w:t>
            </w:r>
            <w:r w:rsidR="00CC207C">
              <w:rPr>
                <w:rFonts w:hint="eastAsia"/>
              </w:rPr>
              <w:t>考虑对资金的使用和管理方式</w:t>
            </w:r>
            <w:r w:rsidR="00CB0A19" w:rsidRPr="00CB0A19">
              <w:rPr>
                <w:rFonts w:hint="eastAsia"/>
              </w:rPr>
              <w:t>。一是资金用途的长期匹配与战略布局需求，主要用于支持海洋装备智能制造基地建设等这些需要长期稳定资金支持的项目，长期借款可避免短期资金波动对项目推进的影响，确保战略布局的连</w:t>
            </w:r>
            <w:r w:rsidR="00CB0A19" w:rsidRPr="00CB0A19">
              <w:rPr>
                <w:rFonts w:hint="eastAsia"/>
              </w:rPr>
              <w:lastRenderedPageBreak/>
              <w:t>续性。二是降低综合资金成本，提升资本使用效率，通过锁定长期低成本资金，可有效对冲未来利率波动风险。三是构建稳健的财务结构，抵御行业周期波动，保留充足货币资金可在不同周期保障核心项目持续投入、抵御营收波动带来的现金流压力。</w:t>
            </w:r>
          </w:p>
          <w:p w14:paraId="0AD73A5A" w14:textId="77777777" w:rsidR="00E6091E" w:rsidRDefault="00E6091E"/>
          <w:p w14:paraId="7DE639B3" w14:textId="77777777" w:rsidR="00E6091E" w:rsidRDefault="00933721">
            <w:bookmarkStart w:id="6" w:name="_Toc21135"/>
            <w:r>
              <w:t>Q8</w:t>
            </w:r>
            <w:r>
              <w:t>：</w:t>
            </w:r>
            <w:bookmarkEnd w:id="6"/>
            <w:r w:rsidR="00CB0A19" w:rsidRPr="00CB0A19">
              <w:rPr>
                <w:rFonts w:hint="eastAsia"/>
              </w:rPr>
              <w:t>公司运营着</w:t>
            </w:r>
            <w:r w:rsidR="00CB0A19" w:rsidRPr="00CB0A19">
              <w:rPr>
                <w:rFonts w:hint="eastAsia"/>
              </w:rPr>
              <w:t>14</w:t>
            </w:r>
            <w:r w:rsidR="00CB0A19" w:rsidRPr="00CB0A19">
              <w:rPr>
                <w:rFonts w:hint="eastAsia"/>
              </w:rPr>
              <w:t>艘</w:t>
            </w:r>
            <w:r w:rsidR="00CB0A19" w:rsidRPr="00CB0A19">
              <w:rPr>
                <w:rFonts w:hint="eastAsia"/>
              </w:rPr>
              <w:t>LNG</w:t>
            </w:r>
            <w:r w:rsidR="00CB0A19" w:rsidRPr="00CB0A19">
              <w:rPr>
                <w:rFonts w:hint="eastAsia"/>
              </w:rPr>
              <w:t>运输船，且拥有</w:t>
            </w:r>
            <w:r w:rsidR="00CB0A19" w:rsidRPr="00CB0A19">
              <w:rPr>
                <w:rFonts w:hint="eastAsia"/>
              </w:rPr>
              <w:t>8</w:t>
            </w:r>
            <w:r w:rsidR="00CB0A19" w:rsidRPr="00CB0A19">
              <w:rPr>
                <w:rFonts w:hint="eastAsia"/>
              </w:rPr>
              <w:t>艘在建新船，请问，这</w:t>
            </w:r>
            <w:r w:rsidR="00CB0A19" w:rsidRPr="00CB0A19">
              <w:rPr>
                <w:rFonts w:hint="eastAsia"/>
              </w:rPr>
              <w:t>8</w:t>
            </w:r>
            <w:r w:rsidR="00CB0A19" w:rsidRPr="00CB0A19">
              <w:rPr>
                <w:rFonts w:hint="eastAsia"/>
              </w:rPr>
              <w:t>艘在建</w:t>
            </w:r>
            <w:r w:rsidR="00CB0A19" w:rsidRPr="00CB0A19">
              <w:rPr>
                <w:rFonts w:hint="eastAsia"/>
              </w:rPr>
              <w:t>LNG</w:t>
            </w:r>
            <w:r w:rsidR="00CB0A19" w:rsidRPr="00CB0A19">
              <w:rPr>
                <w:rFonts w:hint="eastAsia"/>
              </w:rPr>
              <w:t>运输船在</w:t>
            </w:r>
            <w:r w:rsidR="00CB0A19" w:rsidRPr="00CB0A19">
              <w:rPr>
                <w:rFonts w:hint="eastAsia"/>
              </w:rPr>
              <w:t>2026</w:t>
            </w:r>
            <w:r w:rsidR="00CB0A19" w:rsidRPr="00CB0A19">
              <w:rPr>
                <w:rFonts w:hint="eastAsia"/>
              </w:rPr>
              <w:t>至</w:t>
            </w:r>
            <w:r w:rsidR="00CB0A19" w:rsidRPr="00CB0A19">
              <w:rPr>
                <w:rFonts w:hint="eastAsia"/>
              </w:rPr>
              <w:t>2027</w:t>
            </w:r>
            <w:r w:rsidR="00CB0A19" w:rsidRPr="00CB0A19">
              <w:rPr>
                <w:rFonts w:hint="eastAsia"/>
              </w:rPr>
              <w:t>年的交付节奏安排是怎样的？随着新船陆续下水投运，公司的投资收益是否将迎来确定性的阶梯式增长？</w:t>
            </w:r>
          </w:p>
          <w:p w14:paraId="04409246" w14:textId="77777777" w:rsidR="00E6091E" w:rsidRDefault="00933721">
            <w:r>
              <w:t>A8</w:t>
            </w:r>
            <w:r>
              <w:t>：</w:t>
            </w:r>
            <w:r w:rsidR="00CB0A19" w:rsidRPr="00CB0A19">
              <w:rPr>
                <w:rFonts w:hint="eastAsia"/>
              </w:rPr>
              <w:t>公司顺利推进我国最大规模</w:t>
            </w:r>
            <w:r w:rsidR="00CB0A19" w:rsidRPr="00CB0A19">
              <w:rPr>
                <w:rFonts w:hint="eastAsia"/>
              </w:rPr>
              <w:t>LNG</w:t>
            </w:r>
            <w:r w:rsidR="00CB0A19" w:rsidRPr="00CB0A19">
              <w:rPr>
                <w:rFonts w:hint="eastAsia"/>
              </w:rPr>
              <w:t>运输船建造项目，目前计划</w:t>
            </w:r>
            <w:r w:rsidR="00CB0A19" w:rsidRPr="00CB0A19">
              <w:rPr>
                <w:rFonts w:hint="eastAsia"/>
              </w:rPr>
              <w:t>2026</w:t>
            </w:r>
            <w:r w:rsidR="00CB0A19" w:rsidRPr="00CB0A19">
              <w:rPr>
                <w:rFonts w:hint="eastAsia"/>
              </w:rPr>
              <w:t>年建成交付</w:t>
            </w:r>
            <w:r w:rsidR="00CB0A19" w:rsidRPr="00CB0A19">
              <w:rPr>
                <w:rFonts w:hint="eastAsia"/>
              </w:rPr>
              <w:t>4</w:t>
            </w:r>
            <w:r w:rsidR="00CB0A19" w:rsidRPr="00CB0A19">
              <w:rPr>
                <w:rFonts w:hint="eastAsia"/>
              </w:rPr>
              <w:t>至</w:t>
            </w:r>
            <w:r w:rsidR="00CB0A19" w:rsidRPr="00CB0A19">
              <w:rPr>
                <w:rFonts w:hint="eastAsia"/>
              </w:rPr>
              <w:t>5</w:t>
            </w:r>
            <w:r w:rsidR="00CB0A19" w:rsidRPr="00CB0A19">
              <w:rPr>
                <w:rFonts w:hint="eastAsia"/>
              </w:rPr>
              <w:t>艘，</w:t>
            </w:r>
            <w:r w:rsidR="00CB0A19" w:rsidRPr="00CB0A19">
              <w:rPr>
                <w:rFonts w:hint="eastAsia"/>
              </w:rPr>
              <w:t>2027</w:t>
            </w:r>
            <w:r w:rsidR="00CB0A19" w:rsidRPr="00CB0A19">
              <w:rPr>
                <w:rFonts w:hint="eastAsia"/>
              </w:rPr>
              <w:t>年陆续交付剩余船只，具体建造进度以实际交付投运情况为准。公司持股拥有的大型</w:t>
            </w:r>
            <w:r w:rsidR="00CB0A19" w:rsidRPr="00CB0A19">
              <w:rPr>
                <w:rFonts w:hint="eastAsia"/>
              </w:rPr>
              <w:t>LNG</w:t>
            </w:r>
            <w:r w:rsidR="00CB0A19" w:rsidRPr="00CB0A19">
              <w:rPr>
                <w:rFonts w:hint="eastAsia"/>
              </w:rPr>
              <w:t>运输船业务为公司经营发展提供了稳定的现金流和投资回报，随着新船陆续投运，未来将为公司带来稳定的投资收益增量，为公司业绩增长注入新的动能。</w:t>
            </w:r>
          </w:p>
          <w:p w14:paraId="3C383FDA" w14:textId="77777777" w:rsidR="00E6091E" w:rsidRDefault="00E6091E">
            <w:pPr>
              <w:pStyle w:val="a0"/>
            </w:pPr>
          </w:p>
          <w:p w14:paraId="54F65F6B" w14:textId="400E49CE" w:rsidR="00E6091E" w:rsidRDefault="00933721">
            <w:r>
              <w:t>Q9</w:t>
            </w:r>
            <w:r>
              <w:t>：</w:t>
            </w:r>
            <w:r w:rsidR="00CB0A19" w:rsidRPr="00CB0A19">
              <w:rPr>
                <w:rFonts w:hint="eastAsia"/>
              </w:rPr>
              <w:t>公司为修复</w:t>
            </w:r>
            <w:r w:rsidR="00CB0A19" w:rsidRPr="00CB0A19">
              <w:rPr>
                <w:rFonts w:hint="eastAsia"/>
              </w:rPr>
              <w:t>2024</w:t>
            </w:r>
            <w:r w:rsidR="00CB0A19" w:rsidRPr="00CB0A19">
              <w:rPr>
                <w:rFonts w:hint="eastAsia"/>
              </w:rPr>
              <w:t>年</w:t>
            </w:r>
            <w:r w:rsidR="00CB0A19" w:rsidRPr="00CB0A19">
              <w:rPr>
                <w:rFonts w:hint="eastAsia"/>
              </w:rPr>
              <w:t>9</w:t>
            </w:r>
            <w:r w:rsidR="00CB0A19" w:rsidRPr="00CB0A19">
              <w:rPr>
                <w:rFonts w:hint="eastAsia"/>
              </w:rPr>
              <w:t>月在台风中受损的“海洋石油</w:t>
            </w:r>
            <w:r w:rsidR="00CB0A19" w:rsidRPr="00CB0A19">
              <w:rPr>
                <w:rFonts w:hint="eastAsia"/>
              </w:rPr>
              <w:t>116</w:t>
            </w:r>
            <w:r w:rsidR="00CB0A19" w:rsidRPr="00CB0A19">
              <w:rPr>
                <w:rFonts w:hint="eastAsia"/>
              </w:rPr>
              <w:t>”，累计已发生近</w:t>
            </w:r>
            <w:r w:rsidR="00CB0A19" w:rsidRPr="00CB0A19">
              <w:rPr>
                <w:rFonts w:hint="eastAsia"/>
              </w:rPr>
              <w:t>6.92</w:t>
            </w:r>
            <w:r w:rsidR="00CB0A19" w:rsidRPr="00CB0A19">
              <w:rPr>
                <w:rFonts w:hint="eastAsia"/>
              </w:rPr>
              <w:t>亿元的修理支出，而</w:t>
            </w:r>
            <w:r w:rsidR="00CB0A19" w:rsidRPr="00CB0A19">
              <w:rPr>
                <w:rFonts w:hint="eastAsia"/>
              </w:rPr>
              <w:t>2025</w:t>
            </w:r>
            <w:r w:rsidR="00CB0A19" w:rsidRPr="00CB0A19">
              <w:rPr>
                <w:rFonts w:hint="eastAsia"/>
              </w:rPr>
              <w:t>年收到的保险赔款仅冲减了约</w:t>
            </w:r>
            <w:r w:rsidR="00CB0A19" w:rsidRPr="00CB0A19">
              <w:rPr>
                <w:rFonts w:hint="eastAsia"/>
              </w:rPr>
              <w:t>5</w:t>
            </w:r>
            <w:r w:rsidR="00002C11">
              <w:t>,</w:t>
            </w:r>
            <w:r w:rsidR="00CB0A19" w:rsidRPr="00CB0A19">
              <w:rPr>
                <w:rFonts w:hint="eastAsia"/>
              </w:rPr>
              <w:t>380</w:t>
            </w:r>
            <w:r w:rsidR="00CB0A19" w:rsidRPr="00CB0A19">
              <w:rPr>
                <w:rFonts w:hint="eastAsia"/>
              </w:rPr>
              <w:t>万元的营业外支出。目前该</w:t>
            </w:r>
            <w:r w:rsidR="00CB0A19" w:rsidRPr="00CB0A19">
              <w:rPr>
                <w:rFonts w:hint="eastAsia"/>
              </w:rPr>
              <w:t>FPSO</w:t>
            </w:r>
            <w:r w:rsidR="00CB0A19" w:rsidRPr="00CB0A19">
              <w:rPr>
                <w:rFonts w:hint="eastAsia"/>
              </w:rPr>
              <w:t>的生产功能已经恢复。请问：公司预计剩余数亿元的保险赔款大概率会在哪一年集中落地？这是否会给理赔落地当期的净利润带来显著的正向增厚？</w:t>
            </w:r>
          </w:p>
          <w:p w14:paraId="0AB761D1" w14:textId="33AB4F88" w:rsidR="00E6091E" w:rsidRDefault="00933721" w:rsidP="009E0F4E">
            <w:r>
              <w:t>A9</w:t>
            </w:r>
            <w:r>
              <w:t>：</w:t>
            </w:r>
            <w:r w:rsidRPr="00933721">
              <w:rPr>
                <w:rFonts w:hint="eastAsia"/>
              </w:rPr>
              <w:t>公司正在全力推动</w:t>
            </w:r>
            <w:r w:rsidR="001C03A8">
              <w:rPr>
                <w:rFonts w:hint="eastAsia"/>
              </w:rPr>
              <w:t>“</w:t>
            </w:r>
            <w:r w:rsidRPr="00933721">
              <w:rPr>
                <w:rFonts w:hint="eastAsia"/>
              </w:rPr>
              <w:t>海洋石油</w:t>
            </w:r>
            <w:r w:rsidRPr="00933721">
              <w:rPr>
                <w:rFonts w:hint="eastAsia"/>
              </w:rPr>
              <w:t>116</w:t>
            </w:r>
            <w:r w:rsidR="001C03A8">
              <w:rPr>
                <w:rFonts w:hint="eastAsia"/>
              </w:rPr>
              <w:t>”</w:t>
            </w:r>
            <w:r w:rsidRPr="00933721">
              <w:rPr>
                <w:rFonts w:hint="eastAsia"/>
              </w:rPr>
              <w:t>保险理赔工作，目前已向保险公司提交了修复支出发票等资料，并逐步澄清理算人提出的问题。结合以往结案的大额保险理赔案例，理赔周期在</w:t>
            </w:r>
            <w:r w:rsidRPr="00933721">
              <w:rPr>
                <w:rFonts w:hint="eastAsia"/>
              </w:rPr>
              <w:t>1</w:t>
            </w:r>
            <w:r w:rsidRPr="00933721">
              <w:rPr>
                <w:rFonts w:hint="eastAsia"/>
              </w:rPr>
              <w:t>至</w:t>
            </w:r>
            <w:r w:rsidRPr="00933721">
              <w:rPr>
                <w:rFonts w:hint="eastAsia"/>
              </w:rPr>
              <w:t>3</w:t>
            </w:r>
            <w:r w:rsidRPr="00933721">
              <w:rPr>
                <w:rFonts w:hint="eastAsia"/>
              </w:rPr>
              <w:t>年不等，具体赔款时间尚不确定。公司将积极推进理赔事项，力争尽早回款。取得相关保险赔款将对当期的损益产生正向影响。</w:t>
            </w:r>
          </w:p>
          <w:p w14:paraId="38304F84" w14:textId="77777777" w:rsidR="00E6091E" w:rsidRDefault="00E6091E">
            <w:pPr>
              <w:ind w:firstLineChars="200" w:firstLine="420"/>
            </w:pPr>
          </w:p>
          <w:p w14:paraId="30674476" w14:textId="77777777" w:rsidR="00E6091E" w:rsidRDefault="00933721">
            <w:r>
              <w:t>Q</w:t>
            </w:r>
            <w:r>
              <w:rPr>
                <w:rFonts w:hint="eastAsia"/>
              </w:rPr>
              <w:t>10</w:t>
            </w:r>
            <w:r>
              <w:t>：</w:t>
            </w:r>
            <w:r w:rsidRPr="00933721">
              <w:rPr>
                <w:rFonts w:hint="eastAsia"/>
              </w:rPr>
              <w:t>公司</w:t>
            </w:r>
            <w:r w:rsidRPr="00933721">
              <w:rPr>
                <w:rFonts w:hint="eastAsia"/>
              </w:rPr>
              <w:t>2025</w:t>
            </w:r>
            <w:r w:rsidRPr="00933721">
              <w:rPr>
                <w:rFonts w:hint="eastAsia"/>
              </w:rPr>
              <w:t>年度现金分红总额创下历史新高，股利支付率也稳步提升至</w:t>
            </w:r>
            <w:r w:rsidRPr="00933721">
              <w:rPr>
                <w:rFonts w:hint="eastAsia"/>
              </w:rPr>
              <w:t>38.47%</w:t>
            </w:r>
            <w:r w:rsidRPr="00933721">
              <w:rPr>
                <w:rFonts w:hint="eastAsia"/>
              </w:rPr>
              <w:t>。另一方面，年末账面现金及现金等价物余额高达</w:t>
            </w:r>
            <w:r w:rsidRPr="00933721">
              <w:rPr>
                <w:rFonts w:hint="eastAsia"/>
              </w:rPr>
              <w:t>85.16</w:t>
            </w:r>
            <w:r w:rsidRPr="00933721">
              <w:rPr>
                <w:rFonts w:hint="eastAsia"/>
              </w:rPr>
              <w:t>亿元。请问，在国资委全面推行央企市值管理考核的背景下，公司未来是否有意愿并有空间将股利支付率进一步向</w:t>
            </w:r>
            <w:r w:rsidRPr="00933721">
              <w:rPr>
                <w:rFonts w:hint="eastAsia"/>
              </w:rPr>
              <w:t>40%</w:t>
            </w:r>
            <w:r w:rsidRPr="00933721">
              <w:rPr>
                <w:rFonts w:hint="eastAsia"/>
              </w:rPr>
              <w:t>甚至更高水平稳步迈进？</w:t>
            </w:r>
          </w:p>
          <w:p w14:paraId="04BA1D9D" w14:textId="731EAF1A" w:rsidR="00E6091E" w:rsidRDefault="00933721">
            <w:r>
              <w:t>A</w:t>
            </w:r>
            <w:r>
              <w:rPr>
                <w:rFonts w:hint="eastAsia"/>
              </w:rPr>
              <w:t>10</w:t>
            </w:r>
            <w:r>
              <w:t>：</w:t>
            </w:r>
            <w:r w:rsidRPr="00933721">
              <w:rPr>
                <w:rFonts w:hint="eastAsia"/>
              </w:rPr>
              <w:t>公司高度重视股东回报，在制定</w:t>
            </w:r>
            <w:r w:rsidRPr="00933721">
              <w:rPr>
                <w:rFonts w:hint="eastAsia"/>
              </w:rPr>
              <w:t>2025</w:t>
            </w:r>
            <w:r w:rsidRPr="00933721">
              <w:rPr>
                <w:rFonts w:hint="eastAsia"/>
              </w:rPr>
              <w:t>年度利润分配方案时，综合考虑投资者合理回报和公司可持续发展，并兑现公司“提质增效重回报”行动方案中对分红标准的承诺，适度提高每股现金分红金额和分红比率，拟定每</w:t>
            </w:r>
            <w:r w:rsidRPr="00933721">
              <w:rPr>
                <w:rFonts w:hint="eastAsia"/>
              </w:rPr>
              <w:t>10</w:t>
            </w:r>
            <w:r w:rsidRPr="00933721">
              <w:rPr>
                <w:rFonts w:hint="eastAsia"/>
              </w:rPr>
              <w:t>股派发现金红利</w:t>
            </w:r>
            <w:r w:rsidRPr="00933721">
              <w:rPr>
                <w:rFonts w:hint="eastAsia"/>
              </w:rPr>
              <w:t>1.47</w:t>
            </w:r>
            <w:r w:rsidRPr="00933721">
              <w:rPr>
                <w:rFonts w:hint="eastAsia"/>
              </w:rPr>
              <w:t>元（含税），同比增长</w:t>
            </w:r>
            <w:r w:rsidRPr="00933721">
              <w:rPr>
                <w:rFonts w:hint="eastAsia"/>
              </w:rPr>
              <w:t>8.89%</w:t>
            </w:r>
            <w:r w:rsidRPr="00933721">
              <w:rPr>
                <w:rFonts w:hint="eastAsia"/>
              </w:rPr>
              <w:t>，合计派发现金股利约</w:t>
            </w:r>
            <w:r w:rsidRPr="00933721">
              <w:rPr>
                <w:rFonts w:hint="eastAsia"/>
              </w:rPr>
              <w:t>14.94</w:t>
            </w:r>
            <w:r w:rsidRPr="00933721">
              <w:rPr>
                <w:rFonts w:hint="eastAsia"/>
              </w:rPr>
              <w:t>亿元，分红比率</w:t>
            </w:r>
            <w:r w:rsidRPr="00933721">
              <w:rPr>
                <w:rFonts w:hint="eastAsia"/>
              </w:rPr>
              <w:t>38.47%</w:t>
            </w:r>
            <w:r w:rsidRPr="00933721">
              <w:rPr>
                <w:rFonts w:hint="eastAsia"/>
              </w:rPr>
              <w:t>，同比提高</w:t>
            </w:r>
            <w:r w:rsidRPr="00933721">
              <w:rPr>
                <w:rFonts w:hint="eastAsia"/>
              </w:rPr>
              <w:t>0.94</w:t>
            </w:r>
            <w:r w:rsidRPr="00933721">
              <w:rPr>
                <w:rFonts w:hint="eastAsia"/>
              </w:rPr>
              <w:t>个百分点。公司将持续努力提升经营业绩和经营质量，为股东争取更大、更稳定、更可持续的回报。</w:t>
            </w:r>
          </w:p>
          <w:p w14:paraId="23844007" w14:textId="77777777" w:rsidR="00532CAD" w:rsidRPr="00532CAD" w:rsidRDefault="00532CAD" w:rsidP="009E0F4E">
            <w:pPr>
              <w:pStyle w:val="a0"/>
            </w:pPr>
          </w:p>
          <w:p w14:paraId="730ED318" w14:textId="77777777" w:rsidR="00E6091E" w:rsidRDefault="00933721">
            <w:bookmarkStart w:id="7" w:name="_Toc19691"/>
            <w:r>
              <w:t>Q</w:t>
            </w:r>
            <w:r>
              <w:rPr>
                <w:rFonts w:hint="eastAsia"/>
              </w:rPr>
              <w:t>11</w:t>
            </w:r>
            <w:r>
              <w:t>：</w:t>
            </w:r>
            <w:bookmarkEnd w:id="7"/>
            <w:r w:rsidRPr="00933721">
              <w:rPr>
                <w:rFonts w:hint="eastAsia"/>
              </w:rPr>
              <w:t>2026</w:t>
            </w:r>
            <w:r w:rsidRPr="00933721">
              <w:rPr>
                <w:rFonts w:hint="eastAsia"/>
              </w:rPr>
              <w:t>年作为“十五五”的开局之年，公司的经营计划是怎样的？</w:t>
            </w:r>
          </w:p>
          <w:p w14:paraId="1AC52F5D" w14:textId="29C3CF83" w:rsidR="00E6091E" w:rsidRDefault="00933721" w:rsidP="008D06F1">
            <w:r>
              <w:t>A</w:t>
            </w:r>
            <w:r>
              <w:rPr>
                <w:rFonts w:hint="eastAsia"/>
              </w:rPr>
              <w:t>11</w:t>
            </w:r>
            <w:r>
              <w:t>：</w:t>
            </w:r>
            <w:r w:rsidRPr="00933721">
              <w:rPr>
                <w:rFonts w:hint="eastAsia"/>
              </w:rPr>
              <w:t>2026</w:t>
            </w:r>
            <w:r w:rsidRPr="00933721">
              <w:rPr>
                <w:rFonts w:hint="eastAsia"/>
              </w:rPr>
              <w:t>年是“十五五”规划实施的开局之年。公司将持续坚持高质量发展。一是聚力实施产业转型升级。科学编制实施五年规划，优化布局、调整结构。加快全面绿色低碳转型，有序推进智能管理、智能服务等</w:t>
            </w:r>
            <w:r w:rsidRPr="00933721">
              <w:rPr>
                <w:rFonts w:hint="eastAsia"/>
              </w:rPr>
              <w:t>4</w:t>
            </w:r>
            <w:r w:rsidRPr="00933721">
              <w:rPr>
                <w:rFonts w:hint="eastAsia"/>
              </w:rPr>
              <w:t>类典型场景梯度培育。二是聚力深耕服务保障增储上产主业。围绕老油田稳产、新油田建设、难动用储量开发等重点任务，着力突破关键核心技术瓶颈，扎实做好增储上产一体化服务能力。三是聚力培育海洋经济新兴产业。依托公司优势，加力发展新</w:t>
            </w:r>
            <w:r w:rsidRPr="00933721">
              <w:rPr>
                <w:rFonts w:hint="eastAsia"/>
              </w:rPr>
              <w:lastRenderedPageBreak/>
              <w:t>一代海洋信息网络、海洋气象、低空服务等新兴产业。四是聚力开发高价值产品服务。推动产品和服务向产业链价值链高端延伸。强化品牌引领，提升品牌价值，规范产品供应链建设，统一产品质量标准库，加快提升内供外销市场份额。五是聚力拓展两外市场。聚焦新疆、西南、山陕等重点区域，提升区域市场运营能力。坚持“聚焦主业、强内拓外”，科学实施“战略选区”与“战略选品”，形成“核心稳健、新兴突破”的发展格局。</w:t>
            </w:r>
          </w:p>
        </w:tc>
      </w:tr>
      <w:tr w:rsidR="00E6091E" w14:paraId="6C4B5EE7" w14:textId="77777777">
        <w:trPr>
          <w:trHeight w:val="523"/>
        </w:trPr>
        <w:tc>
          <w:tcPr>
            <w:tcW w:w="646" w:type="pct"/>
            <w:tcBorders>
              <w:top w:val="single" w:sz="4" w:space="0" w:color="auto"/>
              <w:left w:val="single" w:sz="4" w:space="0" w:color="auto"/>
              <w:bottom w:val="single" w:sz="4" w:space="0" w:color="auto"/>
              <w:right w:val="single" w:sz="4" w:space="0" w:color="auto"/>
            </w:tcBorders>
            <w:vAlign w:val="center"/>
          </w:tcPr>
          <w:p w14:paraId="15354F14" w14:textId="77777777" w:rsidR="00E6091E" w:rsidRDefault="00933721">
            <w:pPr>
              <w:spacing w:line="360" w:lineRule="auto"/>
              <w:jc w:val="center"/>
              <w:rPr>
                <w:rFonts w:ascii="Arial" w:hAnsi="Arial"/>
                <w:bCs/>
                <w:sz w:val="24"/>
              </w:rPr>
            </w:pPr>
            <w:r>
              <w:rPr>
                <w:rFonts w:ascii="Arial" w:hAnsi="Arial" w:hint="eastAsia"/>
                <w:bCs/>
                <w:sz w:val="24"/>
              </w:rPr>
              <w:lastRenderedPageBreak/>
              <w:t>附件清单（如有）</w:t>
            </w:r>
          </w:p>
        </w:tc>
        <w:tc>
          <w:tcPr>
            <w:tcW w:w="4353" w:type="pct"/>
            <w:tcBorders>
              <w:top w:val="single" w:sz="4" w:space="0" w:color="auto"/>
              <w:left w:val="single" w:sz="4" w:space="0" w:color="auto"/>
              <w:bottom w:val="single" w:sz="4" w:space="0" w:color="auto"/>
              <w:right w:val="single" w:sz="4" w:space="0" w:color="auto"/>
            </w:tcBorders>
            <w:vAlign w:val="center"/>
          </w:tcPr>
          <w:p w14:paraId="3927722E" w14:textId="77777777" w:rsidR="00E6091E" w:rsidRDefault="00E6091E">
            <w:pPr>
              <w:spacing w:line="360" w:lineRule="auto"/>
              <w:rPr>
                <w:rFonts w:ascii="Arial" w:hAnsi="Arial"/>
                <w:bCs/>
                <w:sz w:val="24"/>
              </w:rPr>
            </w:pPr>
          </w:p>
          <w:p w14:paraId="3954263A" w14:textId="77777777" w:rsidR="00E6091E" w:rsidRDefault="00E6091E">
            <w:pPr>
              <w:spacing w:line="360" w:lineRule="auto"/>
              <w:rPr>
                <w:rFonts w:ascii="Arial" w:hAnsi="Arial"/>
                <w:bCs/>
                <w:sz w:val="24"/>
              </w:rPr>
            </w:pPr>
          </w:p>
        </w:tc>
      </w:tr>
      <w:tr w:rsidR="00E6091E" w14:paraId="330DC539" w14:textId="77777777">
        <w:tc>
          <w:tcPr>
            <w:tcW w:w="646" w:type="pct"/>
            <w:tcBorders>
              <w:top w:val="single" w:sz="4" w:space="0" w:color="auto"/>
              <w:left w:val="single" w:sz="4" w:space="0" w:color="auto"/>
              <w:bottom w:val="single" w:sz="4" w:space="0" w:color="auto"/>
              <w:right w:val="single" w:sz="4" w:space="0" w:color="auto"/>
            </w:tcBorders>
            <w:vAlign w:val="center"/>
          </w:tcPr>
          <w:p w14:paraId="2284A9F9" w14:textId="77777777" w:rsidR="00E6091E" w:rsidRDefault="00933721">
            <w:pPr>
              <w:spacing w:line="360" w:lineRule="auto"/>
              <w:jc w:val="center"/>
              <w:rPr>
                <w:rFonts w:ascii="Arial" w:hAnsi="Arial"/>
                <w:bCs/>
                <w:sz w:val="24"/>
              </w:rPr>
            </w:pPr>
            <w:r>
              <w:rPr>
                <w:rFonts w:ascii="Arial" w:hAnsi="Arial" w:hint="eastAsia"/>
                <w:bCs/>
                <w:sz w:val="24"/>
              </w:rPr>
              <w:t>备注</w:t>
            </w:r>
          </w:p>
        </w:tc>
        <w:tc>
          <w:tcPr>
            <w:tcW w:w="4353" w:type="pct"/>
            <w:tcBorders>
              <w:top w:val="single" w:sz="4" w:space="0" w:color="auto"/>
              <w:left w:val="single" w:sz="4" w:space="0" w:color="auto"/>
              <w:bottom w:val="single" w:sz="4" w:space="0" w:color="auto"/>
              <w:right w:val="single" w:sz="4" w:space="0" w:color="auto"/>
            </w:tcBorders>
            <w:vAlign w:val="center"/>
          </w:tcPr>
          <w:p w14:paraId="56797838" w14:textId="77777777" w:rsidR="00E6091E" w:rsidRDefault="00E6091E">
            <w:pPr>
              <w:spacing w:line="360" w:lineRule="auto"/>
              <w:rPr>
                <w:rFonts w:ascii="Arial" w:hAnsi="Arial"/>
                <w:bCs/>
                <w:sz w:val="24"/>
              </w:rPr>
            </w:pPr>
          </w:p>
          <w:p w14:paraId="0D05D01E" w14:textId="77777777" w:rsidR="00E6091E" w:rsidRDefault="00E6091E">
            <w:pPr>
              <w:spacing w:line="360" w:lineRule="auto"/>
              <w:rPr>
                <w:rFonts w:ascii="Arial" w:hAnsi="Arial"/>
                <w:bCs/>
                <w:sz w:val="24"/>
              </w:rPr>
            </w:pPr>
          </w:p>
        </w:tc>
      </w:tr>
    </w:tbl>
    <w:p w14:paraId="3253E9A2" w14:textId="77777777" w:rsidR="00E6091E" w:rsidRDefault="00E6091E">
      <w:pPr>
        <w:spacing w:line="360" w:lineRule="auto"/>
      </w:pPr>
    </w:p>
    <w:sectPr w:rsidR="00E6091E">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4BE2A" w14:textId="77777777" w:rsidR="00771B49" w:rsidRDefault="00771B49" w:rsidP="004E7007">
      <w:r>
        <w:separator/>
      </w:r>
    </w:p>
  </w:endnote>
  <w:endnote w:type="continuationSeparator" w:id="0">
    <w:p w14:paraId="0C7446A2" w14:textId="77777777" w:rsidR="00771B49" w:rsidRDefault="00771B49" w:rsidP="004E7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850EC" w14:textId="77777777" w:rsidR="00771B49" w:rsidRDefault="00771B49" w:rsidP="004E7007">
      <w:r>
        <w:separator/>
      </w:r>
    </w:p>
  </w:footnote>
  <w:footnote w:type="continuationSeparator" w:id="0">
    <w:p w14:paraId="02A93EA6" w14:textId="77777777" w:rsidR="00771B49" w:rsidRDefault="00771B49" w:rsidP="004E70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6AF"/>
    <w:rsid w:val="00002C11"/>
    <w:rsid w:val="000064E8"/>
    <w:rsid w:val="00014730"/>
    <w:rsid w:val="0001671F"/>
    <w:rsid w:val="000249CF"/>
    <w:rsid w:val="000322B8"/>
    <w:rsid w:val="000514E2"/>
    <w:rsid w:val="00064957"/>
    <w:rsid w:val="0007152A"/>
    <w:rsid w:val="00092E77"/>
    <w:rsid w:val="000959C1"/>
    <w:rsid w:val="00095F49"/>
    <w:rsid w:val="000B2D26"/>
    <w:rsid w:val="000B5A0A"/>
    <w:rsid w:val="000C39CE"/>
    <w:rsid w:val="000C4415"/>
    <w:rsid w:val="000D1853"/>
    <w:rsid w:val="000E3B6B"/>
    <w:rsid w:val="000F0D13"/>
    <w:rsid w:val="000F3391"/>
    <w:rsid w:val="00102C7B"/>
    <w:rsid w:val="001041A7"/>
    <w:rsid w:val="0011506D"/>
    <w:rsid w:val="00120BE7"/>
    <w:rsid w:val="00131336"/>
    <w:rsid w:val="00133145"/>
    <w:rsid w:val="00133934"/>
    <w:rsid w:val="00145654"/>
    <w:rsid w:val="00145874"/>
    <w:rsid w:val="0015176B"/>
    <w:rsid w:val="00157EEB"/>
    <w:rsid w:val="001640C6"/>
    <w:rsid w:val="00166E1D"/>
    <w:rsid w:val="00172322"/>
    <w:rsid w:val="00196E68"/>
    <w:rsid w:val="001A607F"/>
    <w:rsid w:val="001B5980"/>
    <w:rsid w:val="001C03A8"/>
    <w:rsid w:val="001C3EE5"/>
    <w:rsid w:val="001C5E58"/>
    <w:rsid w:val="001C7FAB"/>
    <w:rsid w:val="001D3E98"/>
    <w:rsid w:val="001E701A"/>
    <w:rsid w:val="001F2BC6"/>
    <w:rsid w:val="001F53CD"/>
    <w:rsid w:val="00201181"/>
    <w:rsid w:val="00202DBA"/>
    <w:rsid w:val="00205C9B"/>
    <w:rsid w:val="002138F3"/>
    <w:rsid w:val="00217AD1"/>
    <w:rsid w:val="002234F1"/>
    <w:rsid w:val="00225F72"/>
    <w:rsid w:val="00231B7C"/>
    <w:rsid w:val="00232F5E"/>
    <w:rsid w:val="00251396"/>
    <w:rsid w:val="00262377"/>
    <w:rsid w:val="00274437"/>
    <w:rsid w:val="002917B0"/>
    <w:rsid w:val="00291A90"/>
    <w:rsid w:val="00295886"/>
    <w:rsid w:val="0029714B"/>
    <w:rsid w:val="002A2354"/>
    <w:rsid w:val="002A7C64"/>
    <w:rsid w:val="002B3178"/>
    <w:rsid w:val="002B4C51"/>
    <w:rsid w:val="002C37B7"/>
    <w:rsid w:val="002D2D15"/>
    <w:rsid w:val="002D7106"/>
    <w:rsid w:val="002D71D3"/>
    <w:rsid w:val="002F08B5"/>
    <w:rsid w:val="002F105B"/>
    <w:rsid w:val="002F1B29"/>
    <w:rsid w:val="002F5019"/>
    <w:rsid w:val="002F57FB"/>
    <w:rsid w:val="003045BD"/>
    <w:rsid w:val="00337B48"/>
    <w:rsid w:val="00375169"/>
    <w:rsid w:val="00381350"/>
    <w:rsid w:val="0038279B"/>
    <w:rsid w:val="0038654F"/>
    <w:rsid w:val="00392023"/>
    <w:rsid w:val="00392EE5"/>
    <w:rsid w:val="003932E8"/>
    <w:rsid w:val="00396048"/>
    <w:rsid w:val="003A38F1"/>
    <w:rsid w:val="003B0A80"/>
    <w:rsid w:val="003B3AAD"/>
    <w:rsid w:val="003C2D07"/>
    <w:rsid w:val="003C3CB2"/>
    <w:rsid w:val="003D4279"/>
    <w:rsid w:val="003D4E0A"/>
    <w:rsid w:val="003E0FCB"/>
    <w:rsid w:val="003E50AE"/>
    <w:rsid w:val="003F0C6C"/>
    <w:rsid w:val="0040026C"/>
    <w:rsid w:val="004115C5"/>
    <w:rsid w:val="00420C25"/>
    <w:rsid w:val="00425AD3"/>
    <w:rsid w:val="004261A5"/>
    <w:rsid w:val="00456B57"/>
    <w:rsid w:val="00461F34"/>
    <w:rsid w:val="00483104"/>
    <w:rsid w:val="0049413B"/>
    <w:rsid w:val="004A2313"/>
    <w:rsid w:val="004A48AF"/>
    <w:rsid w:val="004A5953"/>
    <w:rsid w:val="004A5CD1"/>
    <w:rsid w:val="004B64F0"/>
    <w:rsid w:val="004B6CCB"/>
    <w:rsid w:val="004C68C2"/>
    <w:rsid w:val="004E1560"/>
    <w:rsid w:val="004E6E75"/>
    <w:rsid w:val="004E7007"/>
    <w:rsid w:val="004F6986"/>
    <w:rsid w:val="005028F2"/>
    <w:rsid w:val="00502AC1"/>
    <w:rsid w:val="00505C7F"/>
    <w:rsid w:val="00513939"/>
    <w:rsid w:val="00516029"/>
    <w:rsid w:val="0051704B"/>
    <w:rsid w:val="00520481"/>
    <w:rsid w:val="005306D2"/>
    <w:rsid w:val="005329E3"/>
    <w:rsid w:val="00532CAD"/>
    <w:rsid w:val="0053346B"/>
    <w:rsid w:val="00540D89"/>
    <w:rsid w:val="005415B8"/>
    <w:rsid w:val="005569B7"/>
    <w:rsid w:val="00576C16"/>
    <w:rsid w:val="005A675E"/>
    <w:rsid w:val="005B2535"/>
    <w:rsid w:val="005B2C08"/>
    <w:rsid w:val="005C0791"/>
    <w:rsid w:val="005E223C"/>
    <w:rsid w:val="005F7998"/>
    <w:rsid w:val="006061B0"/>
    <w:rsid w:val="00613CB3"/>
    <w:rsid w:val="006339AA"/>
    <w:rsid w:val="00640637"/>
    <w:rsid w:val="006408CD"/>
    <w:rsid w:val="00642E5E"/>
    <w:rsid w:val="00647EF4"/>
    <w:rsid w:val="00667668"/>
    <w:rsid w:val="00670515"/>
    <w:rsid w:val="006A29C9"/>
    <w:rsid w:val="006A672C"/>
    <w:rsid w:val="006B23BF"/>
    <w:rsid w:val="006B31D9"/>
    <w:rsid w:val="006C55E7"/>
    <w:rsid w:val="006D0D9C"/>
    <w:rsid w:val="006D497F"/>
    <w:rsid w:val="006D6A12"/>
    <w:rsid w:val="006E211A"/>
    <w:rsid w:val="006E3954"/>
    <w:rsid w:val="00700F38"/>
    <w:rsid w:val="007207CB"/>
    <w:rsid w:val="007378CE"/>
    <w:rsid w:val="0074245B"/>
    <w:rsid w:val="007500D3"/>
    <w:rsid w:val="00767BBE"/>
    <w:rsid w:val="00771B49"/>
    <w:rsid w:val="007740D1"/>
    <w:rsid w:val="00781232"/>
    <w:rsid w:val="0078494D"/>
    <w:rsid w:val="00791A85"/>
    <w:rsid w:val="007A4BB1"/>
    <w:rsid w:val="007B3D4E"/>
    <w:rsid w:val="007B4526"/>
    <w:rsid w:val="007B4B1C"/>
    <w:rsid w:val="007D2AA9"/>
    <w:rsid w:val="007D2DAD"/>
    <w:rsid w:val="007D6C5F"/>
    <w:rsid w:val="007F3F8D"/>
    <w:rsid w:val="007F52F9"/>
    <w:rsid w:val="00814B49"/>
    <w:rsid w:val="00820A07"/>
    <w:rsid w:val="0084183B"/>
    <w:rsid w:val="008418D3"/>
    <w:rsid w:val="00841B87"/>
    <w:rsid w:val="00842582"/>
    <w:rsid w:val="00852F42"/>
    <w:rsid w:val="00857736"/>
    <w:rsid w:val="00870841"/>
    <w:rsid w:val="00870E6D"/>
    <w:rsid w:val="00894C66"/>
    <w:rsid w:val="008A52A1"/>
    <w:rsid w:val="008D06F1"/>
    <w:rsid w:val="008D6D3B"/>
    <w:rsid w:val="008E16D4"/>
    <w:rsid w:val="008F33BB"/>
    <w:rsid w:val="0090720B"/>
    <w:rsid w:val="00915626"/>
    <w:rsid w:val="0092052F"/>
    <w:rsid w:val="00920A70"/>
    <w:rsid w:val="00931DF2"/>
    <w:rsid w:val="00933721"/>
    <w:rsid w:val="0094094D"/>
    <w:rsid w:val="00951C25"/>
    <w:rsid w:val="00952E2F"/>
    <w:rsid w:val="00953621"/>
    <w:rsid w:val="00955BD4"/>
    <w:rsid w:val="009734F6"/>
    <w:rsid w:val="0097646C"/>
    <w:rsid w:val="00982303"/>
    <w:rsid w:val="009A0AA8"/>
    <w:rsid w:val="009A0FDB"/>
    <w:rsid w:val="009A667A"/>
    <w:rsid w:val="009A6897"/>
    <w:rsid w:val="009A7E7D"/>
    <w:rsid w:val="009B0E27"/>
    <w:rsid w:val="009D0879"/>
    <w:rsid w:val="009D50D4"/>
    <w:rsid w:val="009E0F4E"/>
    <w:rsid w:val="009F1F15"/>
    <w:rsid w:val="009F2007"/>
    <w:rsid w:val="009F4A15"/>
    <w:rsid w:val="00A016D7"/>
    <w:rsid w:val="00A01CE4"/>
    <w:rsid w:val="00A06781"/>
    <w:rsid w:val="00A2008F"/>
    <w:rsid w:val="00A2669E"/>
    <w:rsid w:val="00A27FDB"/>
    <w:rsid w:val="00A32E27"/>
    <w:rsid w:val="00A46331"/>
    <w:rsid w:val="00A54A1D"/>
    <w:rsid w:val="00A56E13"/>
    <w:rsid w:val="00A64E11"/>
    <w:rsid w:val="00A66241"/>
    <w:rsid w:val="00A7677A"/>
    <w:rsid w:val="00A80C96"/>
    <w:rsid w:val="00A9782D"/>
    <w:rsid w:val="00AA30E5"/>
    <w:rsid w:val="00AA751C"/>
    <w:rsid w:val="00AB1D47"/>
    <w:rsid w:val="00AE00F9"/>
    <w:rsid w:val="00AE6AAD"/>
    <w:rsid w:val="00AF0540"/>
    <w:rsid w:val="00B04E0C"/>
    <w:rsid w:val="00B146C4"/>
    <w:rsid w:val="00B20CD0"/>
    <w:rsid w:val="00B266A9"/>
    <w:rsid w:val="00B32FB4"/>
    <w:rsid w:val="00B34808"/>
    <w:rsid w:val="00B57DE2"/>
    <w:rsid w:val="00B61024"/>
    <w:rsid w:val="00B62DBF"/>
    <w:rsid w:val="00B63DDA"/>
    <w:rsid w:val="00B64A83"/>
    <w:rsid w:val="00B94426"/>
    <w:rsid w:val="00BA29F6"/>
    <w:rsid w:val="00BB6048"/>
    <w:rsid w:val="00BC06D0"/>
    <w:rsid w:val="00BD605B"/>
    <w:rsid w:val="00BE2FE9"/>
    <w:rsid w:val="00C2418C"/>
    <w:rsid w:val="00C31F14"/>
    <w:rsid w:val="00C42181"/>
    <w:rsid w:val="00C622EA"/>
    <w:rsid w:val="00C7176C"/>
    <w:rsid w:val="00C818BD"/>
    <w:rsid w:val="00C81F5B"/>
    <w:rsid w:val="00C92834"/>
    <w:rsid w:val="00CA2C89"/>
    <w:rsid w:val="00CA3859"/>
    <w:rsid w:val="00CB0A19"/>
    <w:rsid w:val="00CC207C"/>
    <w:rsid w:val="00CD0EC1"/>
    <w:rsid w:val="00CE53D2"/>
    <w:rsid w:val="00CF7EB2"/>
    <w:rsid w:val="00D02FF1"/>
    <w:rsid w:val="00D07FB4"/>
    <w:rsid w:val="00D12A2E"/>
    <w:rsid w:val="00D140C0"/>
    <w:rsid w:val="00D459BA"/>
    <w:rsid w:val="00D46A53"/>
    <w:rsid w:val="00D6600B"/>
    <w:rsid w:val="00D67300"/>
    <w:rsid w:val="00D67AA4"/>
    <w:rsid w:val="00D72A6F"/>
    <w:rsid w:val="00D75EFF"/>
    <w:rsid w:val="00D762C1"/>
    <w:rsid w:val="00D87F10"/>
    <w:rsid w:val="00D915CA"/>
    <w:rsid w:val="00D91F02"/>
    <w:rsid w:val="00D9302B"/>
    <w:rsid w:val="00DA2171"/>
    <w:rsid w:val="00DA3392"/>
    <w:rsid w:val="00DA34B0"/>
    <w:rsid w:val="00DA6434"/>
    <w:rsid w:val="00DB0F03"/>
    <w:rsid w:val="00DB3D89"/>
    <w:rsid w:val="00DC1EC5"/>
    <w:rsid w:val="00DC26ED"/>
    <w:rsid w:val="00DD156D"/>
    <w:rsid w:val="00DE5486"/>
    <w:rsid w:val="00DF4270"/>
    <w:rsid w:val="00E1402E"/>
    <w:rsid w:val="00E2445B"/>
    <w:rsid w:val="00E26F36"/>
    <w:rsid w:val="00E27AE2"/>
    <w:rsid w:val="00E54867"/>
    <w:rsid w:val="00E6091E"/>
    <w:rsid w:val="00E65FD5"/>
    <w:rsid w:val="00E878A5"/>
    <w:rsid w:val="00E947C4"/>
    <w:rsid w:val="00EB501A"/>
    <w:rsid w:val="00EC087B"/>
    <w:rsid w:val="00EC140C"/>
    <w:rsid w:val="00EC4B5E"/>
    <w:rsid w:val="00ED2FEA"/>
    <w:rsid w:val="00ED5B82"/>
    <w:rsid w:val="00EF595C"/>
    <w:rsid w:val="00EF63B5"/>
    <w:rsid w:val="00F065EA"/>
    <w:rsid w:val="00F12982"/>
    <w:rsid w:val="00F46311"/>
    <w:rsid w:val="00F54829"/>
    <w:rsid w:val="00F55C2F"/>
    <w:rsid w:val="00F5728D"/>
    <w:rsid w:val="00F76932"/>
    <w:rsid w:val="00F804AA"/>
    <w:rsid w:val="00F8256E"/>
    <w:rsid w:val="00F828C0"/>
    <w:rsid w:val="00F84A96"/>
    <w:rsid w:val="00F91EC5"/>
    <w:rsid w:val="00F930C8"/>
    <w:rsid w:val="00F9390C"/>
    <w:rsid w:val="00F959DE"/>
    <w:rsid w:val="00FB2757"/>
    <w:rsid w:val="00FB2E13"/>
    <w:rsid w:val="00FB36AF"/>
    <w:rsid w:val="00FD7CDB"/>
    <w:rsid w:val="00FE4171"/>
    <w:rsid w:val="0130215C"/>
    <w:rsid w:val="06DC7859"/>
    <w:rsid w:val="07F118A7"/>
    <w:rsid w:val="09780FE6"/>
    <w:rsid w:val="108E0C2E"/>
    <w:rsid w:val="11E00E28"/>
    <w:rsid w:val="14B8165B"/>
    <w:rsid w:val="18931874"/>
    <w:rsid w:val="1CB01AE5"/>
    <w:rsid w:val="20564F67"/>
    <w:rsid w:val="22903F40"/>
    <w:rsid w:val="2428786F"/>
    <w:rsid w:val="250E6BFE"/>
    <w:rsid w:val="253C3156"/>
    <w:rsid w:val="2FC015D3"/>
    <w:rsid w:val="300F2202"/>
    <w:rsid w:val="30E8054D"/>
    <w:rsid w:val="33C01926"/>
    <w:rsid w:val="34584414"/>
    <w:rsid w:val="370D1705"/>
    <w:rsid w:val="37697DF6"/>
    <w:rsid w:val="3C9E1F83"/>
    <w:rsid w:val="3FE42117"/>
    <w:rsid w:val="40190FE2"/>
    <w:rsid w:val="40516596"/>
    <w:rsid w:val="424413B5"/>
    <w:rsid w:val="430420E0"/>
    <w:rsid w:val="579266F5"/>
    <w:rsid w:val="5B6B7E52"/>
    <w:rsid w:val="5C9B4908"/>
    <w:rsid w:val="5E0D31DF"/>
    <w:rsid w:val="5E831ACF"/>
    <w:rsid w:val="5F331135"/>
    <w:rsid w:val="5FCE799C"/>
    <w:rsid w:val="60A9304C"/>
    <w:rsid w:val="60D72176"/>
    <w:rsid w:val="61727C75"/>
    <w:rsid w:val="6C4876F4"/>
    <w:rsid w:val="72724C57"/>
    <w:rsid w:val="73194621"/>
    <w:rsid w:val="73D357FF"/>
    <w:rsid w:val="73E21972"/>
    <w:rsid w:val="76901005"/>
    <w:rsid w:val="793A669D"/>
    <w:rsid w:val="799646AA"/>
    <w:rsid w:val="7AF74291"/>
    <w:rsid w:val="7DB33A51"/>
    <w:rsid w:val="7E9F0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C6D1B9"/>
  <w15:docId w15:val="{9AAFABDB-DEF4-4DD4-B530-0BCAD6F23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tabs>
        <w:tab w:val="left" w:pos="720"/>
        <w:tab w:val="left" w:pos="1440"/>
        <w:tab w:val="left" w:pos="2160"/>
        <w:tab w:val="left" w:pos="2880"/>
        <w:tab w:val="left" w:pos="3600"/>
        <w:tab w:val="left" w:pos="4321"/>
        <w:tab w:val="left" w:pos="5041"/>
        <w:tab w:val="left" w:pos="5761"/>
        <w:tab w:val="left" w:pos="6481"/>
        <w:tab w:val="left" w:pos="7201"/>
        <w:tab w:val="left" w:pos="7921"/>
      </w:tabs>
      <w:autoSpaceDE w:val="0"/>
      <w:autoSpaceDN w:val="0"/>
      <w:spacing w:after="120"/>
    </w:pPr>
  </w:style>
  <w:style w:type="paragraph" w:styleId="a4">
    <w:name w:val="Title"/>
    <w:basedOn w:val="a"/>
    <w:next w:val="a"/>
    <w:qFormat/>
    <w:pPr>
      <w:spacing w:before="240" w:after="60"/>
      <w:jc w:val="center"/>
      <w:outlineLvl w:val="0"/>
    </w:pPr>
    <w:rPr>
      <w:rFonts w:ascii="Arial" w:hAnsi="Arial"/>
      <w:b/>
    </w:rPr>
  </w:style>
  <w:style w:type="paragraph" w:styleId="a5">
    <w:name w:val="annotation text"/>
    <w:basedOn w:val="a"/>
    <w:link w:val="a6"/>
    <w:uiPriority w:val="99"/>
    <w:unhideWhenUsed/>
    <w:qFormat/>
    <w:pPr>
      <w:jc w:val="left"/>
    </w:pPr>
  </w:style>
  <w:style w:type="paragraph" w:styleId="2">
    <w:name w:val="Body Text Indent 2"/>
    <w:basedOn w:val="a"/>
    <w:qFormat/>
    <w:pPr>
      <w:ind w:left="420"/>
    </w:pPr>
    <w:rPr>
      <w:rFonts w:asciiTheme="minorHAnsi" w:eastAsiaTheme="minorEastAsia" w:hAnsiTheme="minorHAnsi" w:cstheme="minorBidi"/>
      <w:b/>
      <w:sz w:val="24"/>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5"/>
    <w:next w:val="a5"/>
    <w:link w:val="ae"/>
    <w:uiPriority w:val="99"/>
    <w:semiHidden/>
    <w:unhideWhenUsed/>
    <w:qFormat/>
    <w:rPr>
      <w:b/>
      <w:bCs/>
    </w:rPr>
  </w:style>
  <w:style w:type="character" w:styleId="af">
    <w:name w:val="annotation reference"/>
    <w:basedOn w:val="a1"/>
    <w:uiPriority w:val="99"/>
    <w:semiHidden/>
    <w:unhideWhenUsed/>
    <w:qFormat/>
    <w:rPr>
      <w:sz w:val="21"/>
      <w:szCs w:val="21"/>
    </w:rPr>
  </w:style>
  <w:style w:type="character" w:customStyle="1" w:styleId="a8">
    <w:name w:val="批注框文本 字符"/>
    <w:basedOn w:val="a1"/>
    <w:link w:val="a7"/>
    <w:uiPriority w:val="99"/>
    <w:semiHidden/>
    <w:qFormat/>
    <w:rPr>
      <w:rFonts w:ascii="Calibri" w:eastAsia="宋体" w:hAnsi="Calibri" w:cs="Times New Roman"/>
      <w:sz w:val="18"/>
      <w:szCs w:val="18"/>
    </w:rPr>
  </w:style>
  <w:style w:type="character" w:customStyle="1" w:styleId="ac">
    <w:name w:val="页眉 字符"/>
    <w:basedOn w:val="a1"/>
    <w:link w:val="ab"/>
    <w:uiPriority w:val="99"/>
    <w:qFormat/>
    <w:rPr>
      <w:rFonts w:ascii="Calibri" w:eastAsia="宋体" w:hAnsi="Calibri" w:cs="Times New Roman"/>
      <w:sz w:val="18"/>
      <w:szCs w:val="18"/>
    </w:rPr>
  </w:style>
  <w:style w:type="character" w:customStyle="1" w:styleId="aa">
    <w:name w:val="页脚 字符"/>
    <w:basedOn w:val="a1"/>
    <w:link w:val="a9"/>
    <w:uiPriority w:val="99"/>
    <w:qFormat/>
    <w:rPr>
      <w:rFonts w:ascii="Calibri" w:eastAsia="宋体" w:hAnsi="Calibri" w:cs="Times New Roman"/>
      <w:sz w:val="18"/>
      <w:szCs w:val="18"/>
    </w:rPr>
  </w:style>
  <w:style w:type="paragraph" w:styleId="af0">
    <w:name w:val="List Paragraph"/>
    <w:basedOn w:val="a"/>
    <w:uiPriority w:val="34"/>
    <w:qFormat/>
    <w:pPr>
      <w:ind w:firstLineChars="200" w:firstLine="420"/>
    </w:pPr>
    <w:rPr>
      <w:rFonts w:asciiTheme="minorHAnsi" w:eastAsiaTheme="minorEastAsia" w:hAnsiTheme="minorHAnsi" w:cstheme="minorBidi"/>
      <w:szCs w:val="22"/>
    </w:rPr>
  </w:style>
  <w:style w:type="character" w:customStyle="1" w:styleId="a6">
    <w:name w:val="批注文字 字符"/>
    <w:basedOn w:val="a1"/>
    <w:link w:val="a5"/>
    <w:uiPriority w:val="99"/>
    <w:qFormat/>
    <w:rPr>
      <w:rFonts w:ascii="Calibri" w:eastAsia="宋体" w:hAnsi="Calibri" w:cs="Times New Roman"/>
      <w:szCs w:val="24"/>
    </w:rPr>
  </w:style>
  <w:style w:type="character" w:customStyle="1" w:styleId="ae">
    <w:name w:val="批注主题 字符"/>
    <w:basedOn w:val="a6"/>
    <w:link w:val="ad"/>
    <w:uiPriority w:val="99"/>
    <w:semiHidden/>
    <w:qFormat/>
    <w:rPr>
      <w:rFonts w:ascii="Calibri" w:eastAsia="宋体" w:hAnsi="Calibri" w:cs="Times New Roman"/>
      <w:b/>
      <w:bCs/>
      <w:szCs w:val="24"/>
    </w:rPr>
  </w:style>
  <w:style w:type="character" w:customStyle="1" w:styleId="bgchighlight-anchor">
    <w:name w:val="bgchighlight-anchor"/>
    <w:basedOn w:val="a1"/>
    <w:rsid w:val="00CF7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3CADD-285B-417E-8BF7-CFC8670F3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3401</Words>
  <Characters>368</Characters>
  <Application>Microsoft Office Word</Application>
  <DocSecurity>0</DocSecurity>
  <Lines>16</Lines>
  <Paragraphs>48</Paragraphs>
  <ScaleCrop>false</ScaleCrop>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 Zhengrong</dc:creator>
  <cp:lastModifiedBy>荣 李</cp:lastModifiedBy>
  <cp:revision>7</cp:revision>
  <cp:lastPrinted>2021-04-22T01:41:00Z</cp:lastPrinted>
  <dcterms:created xsi:type="dcterms:W3CDTF">2026-04-02T07:27:00Z</dcterms:created>
  <dcterms:modified xsi:type="dcterms:W3CDTF">2026-04-03T09:54:00Z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C669EAE0FCB645A7A12D50F238193B77</vt:lpwstr>
  </property>
</Properties>
</file>