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证券代码：600060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证券简称：海信视像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02</w:t>
      </w:r>
    </w:p>
    <w:tbl>
      <w:tblPr>
        <w:tblStyle w:val="15"/>
        <w:tblW w:w="602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3761"/>
        <w:gridCol w:w="4515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68" w:type="pct"/>
            <w:vAlign w:val="center"/>
          </w:tcPr>
          <w:p w14:paraId="3BBFB38B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4457A381">
            <w:pPr>
              <w:spacing w:line="272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712854B1">
            <w:pPr>
              <w:pStyle w:val="16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spacing w:val="-3"/>
              </w:rPr>
              <w:t>动类别</w:t>
            </w:r>
          </w:p>
        </w:tc>
        <w:tc>
          <w:tcPr>
            <w:tcW w:w="1832" w:type="pct"/>
            <w:tcBorders>
              <w:right w:val="nil"/>
            </w:tcBorders>
          </w:tcPr>
          <w:p w14:paraId="3345F96C">
            <w:pPr>
              <w:pStyle w:val="16"/>
              <w:spacing w:before="117" w:line="220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特定对象调研</w:t>
            </w:r>
          </w:p>
          <w:p w14:paraId="1E7E661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媒体采访</w:t>
            </w:r>
          </w:p>
          <w:p w14:paraId="721F99F5">
            <w:pPr>
              <w:pStyle w:val="16"/>
              <w:spacing w:before="183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新闻发布会</w:t>
            </w:r>
          </w:p>
          <w:p w14:paraId="416233C8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spacing w:val="-6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 xml:space="preserve">现场参观 </w:t>
            </w:r>
          </w:p>
          <w:p w14:paraId="6F694929">
            <w:pPr>
              <w:pStyle w:val="16"/>
              <w:spacing w:before="182" w:line="219" w:lineRule="auto"/>
              <w:ind w:left="13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（电话会议）</w:t>
            </w:r>
          </w:p>
        </w:tc>
        <w:tc>
          <w:tcPr>
            <w:tcW w:w="2199" w:type="pct"/>
            <w:tcBorders>
              <w:left w:val="nil"/>
            </w:tcBorders>
          </w:tcPr>
          <w:p w14:paraId="35288B01">
            <w:pPr>
              <w:pStyle w:val="16"/>
              <w:spacing w:before="117" w:line="219" w:lineRule="auto"/>
              <w:ind w:left="4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分析师会议</w:t>
            </w:r>
          </w:p>
          <w:p w14:paraId="6F69686C">
            <w:pPr>
              <w:pStyle w:val="16"/>
              <w:spacing w:before="183" w:line="219" w:lineRule="auto"/>
              <w:ind w:left="511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业绩说明会</w:t>
            </w:r>
          </w:p>
          <w:p w14:paraId="39D7E6E1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路演活动</w:t>
            </w:r>
          </w:p>
          <w:p w14:paraId="2AC11218">
            <w:pPr>
              <w:pStyle w:val="16"/>
              <w:spacing w:before="182" w:line="220" w:lineRule="auto"/>
              <w:ind w:left="511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968" w:type="pct"/>
            <w:vAlign w:val="center"/>
          </w:tcPr>
          <w:p w14:paraId="65B027C1">
            <w:pPr>
              <w:pStyle w:val="16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</w:rPr>
              <w:t>参与单位名称</w:t>
            </w:r>
          </w:p>
        </w:tc>
        <w:tc>
          <w:tcPr>
            <w:tcW w:w="4031" w:type="pct"/>
            <w:gridSpan w:val="2"/>
            <w:vAlign w:val="center"/>
          </w:tcPr>
          <w:p w14:paraId="6F102432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红杉资本、泰信基金、润晖投资、泰康资产、泓德基金、朱雀基金、中庚基金、仁桥资产、嘉实基金、鹏扬基金、中泰资产、小米集团、诺安基金、华安基金、Dymon Asia、保德信、招商基金、汇添富基金、民生加银基金、中信资管、银河基金、博时基金、Pleiad Investment Advisors、CITADEL、花旗银行、富国基金、长安基金、阳光资产、瑞众保险、经纬创投、粤港澳大湾区共同家园发展基金、九泰基金、景顺长城基金、鹏华基金、青骊投资、上海易同私募基金、前海开源基金、宝盈基金、南方基金、华夏人寿、上海宽远资管、泓德基金、广发基金、巨杉资产、银华基金、宝新能源、中欧基金、英轩捷信投资、鹏扬基金、苏州高新私募基金、浙江旌安投资、交银施罗德基金、中金基金、浙商资管、德远投资、朴易资产、英大保险、中加基金、华泰柏瑞、申万菱信基金、西部证券、中金公司、华泰证券、华创证券、长江证券、天风证券、东方证券、申万宏源、华西证券、华源证券、广发证券、国联民生、国泰海通、西南证券、财通证券、国信证券、银河证券、国金证券、国投证券、方正证券、国盛证券、兴业证券、东方财富证券、开源证券、野村东方国际证券、招商证券、华福证券、中信建投证券、中泰证券、光大证券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68" w:type="pct"/>
            <w:vAlign w:val="center"/>
          </w:tcPr>
          <w:p w14:paraId="6807D5DC">
            <w:pPr>
              <w:pStyle w:val="16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4031" w:type="pct"/>
            <w:gridSpan w:val="2"/>
            <w:vAlign w:val="center"/>
          </w:tcPr>
          <w:p w14:paraId="0FA441E6">
            <w:pPr>
              <w:pStyle w:val="16"/>
              <w:spacing w:before="113" w:line="220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-31日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68" w:type="pct"/>
            <w:vAlign w:val="center"/>
          </w:tcPr>
          <w:p w14:paraId="0946ECE6">
            <w:pPr>
              <w:pStyle w:val="16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地点</w:t>
            </w:r>
          </w:p>
        </w:tc>
        <w:tc>
          <w:tcPr>
            <w:tcW w:w="4031" w:type="pct"/>
            <w:gridSpan w:val="2"/>
            <w:vAlign w:val="center"/>
          </w:tcPr>
          <w:p w14:paraId="00FADA5F">
            <w:pPr>
              <w:pStyle w:val="16"/>
              <w:spacing w:before="117" w:line="219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公司会议室、</w:t>
            </w:r>
            <w:r>
              <w:rPr>
                <w:rFonts w:ascii="Times New Roman" w:hAnsi="Times New Roman" w:cs="Times New Roman"/>
                <w:lang w:eastAsia="zh-CN"/>
              </w:rPr>
              <w:t>电话会议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" w:type="pct"/>
            <w:vAlign w:val="center"/>
          </w:tcPr>
          <w:p w14:paraId="11E0F2A3">
            <w:pPr>
              <w:pStyle w:val="16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人员姓名</w:t>
            </w:r>
          </w:p>
        </w:tc>
        <w:tc>
          <w:tcPr>
            <w:tcW w:w="4031" w:type="pct"/>
            <w:gridSpan w:val="2"/>
            <w:vAlign w:val="center"/>
          </w:tcPr>
          <w:p w14:paraId="57E3519E">
            <w:pPr>
              <w:pStyle w:val="1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120" w:afterLines="50" w:line="360" w:lineRule="auto"/>
              <w:jc w:val="both"/>
              <w:textAlignment w:val="baseline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董事、总裁    李    炜</w:t>
            </w:r>
          </w:p>
          <w:p w14:paraId="71DA81A6">
            <w:pPr>
              <w:pStyle w:val="16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财务负责人    郑丽非</w:t>
            </w:r>
          </w:p>
          <w:p w14:paraId="69D2DD0F">
            <w:pPr>
              <w:pStyle w:val="16"/>
              <w:spacing w:after="120" w:afterLines="50" w:line="360" w:lineRule="auto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董事会秘书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lang w:eastAsia="zh-CN"/>
              </w:rPr>
              <w:t>潇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0" w:hRule="atLeast"/>
          <w:jc w:val="center"/>
        </w:trPr>
        <w:tc>
          <w:tcPr>
            <w:tcW w:w="968" w:type="pct"/>
            <w:vAlign w:val="center"/>
          </w:tcPr>
          <w:p w14:paraId="314C7E04">
            <w:pPr>
              <w:pStyle w:val="16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lang w:eastAsia="zh-CN"/>
              </w:rPr>
              <w:t>绍</w:t>
            </w:r>
          </w:p>
        </w:tc>
        <w:tc>
          <w:tcPr>
            <w:tcW w:w="4031" w:type="pct"/>
            <w:gridSpan w:val="2"/>
            <w:vAlign w:val="center"/>
          </w:tcPr>
          <w:p w14:paraId="45C6AFF4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公司2025年的市场表现怎么样？</w:t>
            </w:r>
          </w:p>
          <w:p w14:paraId="113079EE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2025年公司坚定不移推进全球化布局与高端大屏战略，市场表现稳健向上。根据奥维睿沃统计，2025年海信系电视全球出货量市占率为14.56%，同比提升0.5个百分点，在中国、日本、澳大利亚、南非及斯洛文尼亚等核心市场蝉联第一。 海外市场产品结构持续优化，Mini LED产品出货量同比增长超过26%，并在98吋及以上、100吋及以上超大屏分别以30.3%、57.1%的出货量份额登顶全球第一。</w:t>
            </w:r>
          </w:p>
          <w:p w14:paraId="7FD3B374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国内市场方面，根据奥维云网全渠道监测数据，2025年海信系电视中国内地零售额市占率为30.38%，零售量市占率为25.59%，均位居中国内地市场第一名，持续巩固行业龙头地位，同时公司产品结构持续优化，Mini LED产品销量同比增长23%，98吋以上产品销量同比增长超过50%，整体均价同比提升5%左右，在全渠道百吋及以上市场，海信系零售量与零售额占有率分别达46.3%和53.06%，稳居中国第一，在75吋及85吋以上市场也均保持市场首位，线下高端额占有率达43.2%，线上高端额占有率达33.31%，实现了规模与质量同步双增长。</w:t>
            </w:r>
          </w:p>
          <w:p w14:paraId="7A8F648E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在电视行业整体规模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稳定、结构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提升的趋势下，公司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如何应对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？</w:t>
            </w:r>
          </w:p>
          <w:p w14:paraId="0EE173BE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公司坚定“技术立企”，夯实高质量增长基础。一方面，公司坚持以技术创新构建核心竞争壁垒。2025年，公司推出RGB-Mini LED技术及量产产品，在核心芯片与光学架构方面完成技术迭代，对RGB-3D Dimming芯片进行升级，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并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攻克“光晕”与“串色”等行业瓶颈优化画质表现。同时，公司自研应用自研黑曜屏技术，并与头部面板厂商合作，推出180Hz刷新率液晶显示技术。公司已完成从旗舰到中高端RGB-Mini LED产品的主流尺寸市场布局，推动RGB-Mini LED加速从高端市场向主流市场渗透。奥维云网数据显示，2026 年 1 月-2 月，在国内线下高端消费市场中，均价 2 万元及以上 85 英寸电视细分领域，RGB-Mini LED 电视销售额占比达 51.46%，销量占比达 56.97%，市场份额过半，RGB-Mini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LED 成为高端电视主流选择。</w:t>
            </w:r>
          </w:p>
          <w:p w14:paraId="5415F840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另一方面，公司聚焦高端化与大屏化战略，持续优化产品结构，2022年至2025年电视产品平均尺寸从50.44吋增长到53.63吋，65吋以上产品销售额内占比从44%提升至56%，75吋以上产品销售额内占比从21%提升至39%，98吋以上产品销售额内占比从1%提升至7%，Mini LED产品销售额内占比从2%提升至24%，过去三年电视产品均价增长15.24%，高端市场竞争力持续增强。</w:t>
            </w:r>
          </w:p>
          <w:p w14:paraId="5353A3DD">
            <w:pPr>
              <w:pStyle w:val="16"/>
              <w:numPr>
                <w:ilvl w:val="0"/>
                <w:numId w:val="0"/>
              </w:numPr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同时，公司持续深化全球化布局与品牌建设，结合世界杯、欧洲杯、世俱杯等世界顶级赛事以及《黑神话：悟空》《影之刃零》等游戏IP展开整合营销，提升品牌全球影响力；并通过海信、东芝、Vidda三大品牌协同运作，以“科技化、品质化、年轻化”满足用户多场景、多层次需求。公司在全球范围内设立9个生产基地和13个研发中心，持续完善全球区域运营中心“研产销一体化”布局，在北美、欧洲、东南亚、中东、日本等地区前置研发能力，重点强化中东非、中南美等新兴区域的本地化供应保障能力；并推广“灯塔工厂”智造标准，深化全链路数字化治理。2019-2025年间，公司海外收入持续提升，年均复合增长率达13%，海信品牌连续9年位居BrandZ™中国全球化品牌10强，品牌全球影响力持续提升。</w:t>
            </w:r>
          </w:p>
          <w:p w14:paraId="2E86B4B8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公司新显示新业务板块</w:t>
            </w:r>
            <w:r>
              <w:rPr>
                <w:rFonts w:hint="eastAsia"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表现</w:t>
            </w: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如何？</w:t>
            </w:r>
          </w:p>
          <w:p w14:paraId="5470D0A7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报告期内公司持续深化技术创新与产业布局，以多场景大显示为核心，持续提升激光、商显、云服务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、芯片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以及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多场景显示等产品技术的全球市场竞争力，开拓第二增长曲线，新显示新业务板块2025年收入为84.58亿元，同比增长24.92%。</w:t>
            </w:r>
          </w:p>
          <w:p w14:paraId="72345B98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激光显示业务实现规模与市场份额双增长，海外市场销量同比增长79%，2025年海信激光电视全球出货量份额达70.3%，连续七年排名全球第一，国内激光电视整体销售额占有率达96.4%。</w:t>
            </w:r>
          </w:p>
          <w:p w14:paraId="67B0047A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商用显示业务坚定推进自主品牌出海战略，报告期内收入同比增长265%，业务覆盖欧洲、亚太、美洲、中东非等区域87个国家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其中交互平板收入同比增长168%，海外市场实现6倍增长，2025年交互平板全球出货量第二、海外第一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数字标牌收入同比增长44%，海外业务增速达53%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LED显示海外业务规模同比增长48%。</w:t>
            </w:r>
          </w:p>
          <w:p w14:paraId="18FF92D4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Micro LED技术已构建起覆盖全产业链的垂直整合能力，攻克了传统LED直显难以满足家用级显示性能与EMC认证的关键技术瓶颈，并实现商业化落地，产品远销欧美及中东等核心区域，全球渠道布局持续完善。产品远销欧美及中东等核心区域，全球渠道布局持续完善。</w:t>
            </w:r>
          </w:p>
          <w:p w14:paraId="17E6386E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芯片业务持续构建全场景全显示产品矩阵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TCON芯片业务同比增长10%以上，电视TCON芯片全球市占率约45%，持续保持行业领先地位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自研高性能RGB-Mini LED背光芯片实现规模化应用，驱动背光芯片业务营收同比增长约70%。</w:t>
            </w:r>
          </w:p>
          <w:p w14:paraId="483F73E3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场景显示领域实现创新突破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移动智慧屏国内出货量同比增长156%，市场份额达18.1%，稳居行业第二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显示器国内出货量同比增长86%，海外出货量同比增长161%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为新显示新业务长期增长注入持续动能。</w:t>
            </w:r>
          </w:p>
          <w:p w14:paraId="4176479A">
            <w:pPr>
              <w:pStyle w:val="16"/>
              <w:numPr>
                <w:ilvl w:val="0"/>
                <w:numId w:val="1"/>
              </w:numPr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今年在美加墨三地举办的世界杯，公司做了哪些准备？</w:t>
            </w:r>
          </w:p>
          <w:p w14:paraId="6836C82B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针对2026年美加墨世界杯赛事带来的市场机遇，公司依托全球化运营体系与全产业链技术优势，紧抓赛事催化下的全球高端换机需求，持续强化品牌全球影响力与市场竞争力。</w:t>
            </w:r>
          </w:p>
          <w:p w14:paraId="3BDD699F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公司围绕观赛场景发布多款世界杯定制款新品，推出的RGB-Mini LED UX2026，打造世界杯专属沉浸式观赛体验；在激光显示产品方面，公司推出探索X1系列激光电视，配备全球首发的纳米光谱选择屏Pro，实现100英寸全屏亮度突破1000nits，打造影院级赛事观赛体验；在Micro LED领域，推出163英寸四基色（RGBY）Micro LED无界巨幕，突破传统色域限制，实现100% BT.2020超广色域覆盖，满足多场景观赛需求。</w:t>
            </w:r>
          </w:p>
          <w:p w14:paraId="5B932F50">
            <w:pPr>
              <w:pStyle w:val="16"/>
              <w:spacing w:before="120" w:beforeLines="50" w:after="120" w:afterLines="50"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在品牌建设方面，公司延续顶级体育赛事营销的成熟经验，将充分发挥2026年FIFA世界杯全球官方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赞助商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优势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和资源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，重点发力美加墨、欧洲及澳洲等核心战略区域。通过体育IP与影像、游戏场景的深度联动，协同平板电视、激光电视、智能投影及移动智慧屏等全品类“爆款”全球接力，实现品牌声量与市场规模的双重跃升。</w:t>
            </w:r>
          </w:p>
        </w:tc>
      </w:tr>
    </w:tbl>
    <w:p w14:paraId="04E46689">
      <w:pPr>
        <w:jc w:val="center"/>
        <w:rPr>
          <w:rFonts w:ascii="Times New Roman" w:hAnsi="Times New Roman" w:cs="Times New Roman"/>
          <w:lang w:eastAsia="zh-CN"/>
        </w:rPr>
      </w:pPr>
    </w:p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53066"/>
    <w:multiLevelType w:val="multilevel"/>
    <w:tmpl w:val="3F753066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7"/>
    <w:rsid w:val="00013270"/>
    <w:rsid w:val="000258DA"/>
    <w:rsid w:val="00026A3C"/>
    <w:rsid w:val="00027473"/>
    <w:rsid w:val="000433B0"/>
    <w:rsid w:val="000528A6"/>
    <w:rsid w:val="000566D4"/>
    <w:rsid w:val="00063A98"/>
    <w:rsid w:val="000648F2"/>
    <w:rsid w:val="000720F6"/>
    <w:rsid w:val="000878B0"/>
    <w:rsid w:val="00095EE6"/>
    <w:rsid w:val="00096328"/>
    <w:rsid w:val="000A12D3"/>
    <w:rsid w:val="000B5B1D"/>
    <w:rsid w:val="000C4CE2"/>
    <w:rsid w:val="000D7D44"/>
    <w:rsid w:val="000F6158"/>
    <w:rsid w:val="001010F6"/>
    <w:rsid w:val="00102283"/>
    <w:rsid w:val="00115C8E"/>
    <w:rsid w:val="00116842"/>
    <w:rsid w:val="00132FD5"/>
    <w:rsid w:val="001339D6"/>
    <w:rsid w:val="00135E16"/>
    <w:rsid w:val="00152FD0"/>
    <w:rsid w:val="00153A81"/>
    <w:rsid w:val="00161E1E"/>
    <w:rsid w:val="00180497"/>
    <w:rsid w:val="0018684E"/>
    <w:rsid w:val="001878F1"/>
    <w:rsid w:val="001A7542"/>
    <w:rsid w:val="001B1907"/>
    <w:rsid w:val="001B21C1"/>
    <w:rsid w:val="001B58A9"/>
    <w:rsid w:val="001C061C"/>
    <w:rsid w:val="001C5778"/>
    <w:rsid w:val="001D1F73"/>
    <w:rsid w:val="001D66E8"/>
    <w:rsid w:val="001F443D"/>
    <w:rsid w:val="001F7D21"/>
    <w:rsid w:val="00202EDC"/>
    <w:rsid w:val="002078FE"/>
    <w:rsid w:val="00215D42"/>
    <w:rsid w:val="00227F8A"/>
    <w:rsid w:val="002330D1"/>
    <w:rsid w:val="002419CA"/>
    <w:rsid w:val="00251171"/>
    <w:rsid w:val="0025222F"/>
    <w:rsid w:val="00253848"/>
    <w:rsid w:val="00254B68"/>
    <w:rsid w:val="00255864"/>
    <w:rsid w:val="002630E1"/>
    <w:rsid w:val="002639ED"/>
    <w:rsid w:val="002665EF"/>
    <w:rsid w:val="00282F35"/>
    <w:rsid w:val="002943D3"/>
    <w:rsid w:val="002E7A10"/>
    <w:rsid w:val="002F1506"/>
    <w:rsid w:val="002F636D"/>
    <w:rsid w:val="003041E7"/>
    <w:rsid w:val="00304697"/>
    <w:rsid w:val="00313B73"/>
    <w:rsid w:val="003211D9"/>
    <w:rsid w:val="0033713F"/>
    <w:rsid w:val="00347596"/>
    <w:rsid w:val="00364753"/>
    <w:rsid w:val="00365786"/>
    <w:rsid w:val="003727CA"/>
    <w:rsid w:val="0038006B"/>
    <w:rsid w:val="00381231"/>
    <w:rsid w:val="003A1EDC"/>
    <w:rsid w:val="003A6954"/>
    <w:rsid w:val="003B32E2"/>
    <w:rsid w:val="003B42D1"/>
    <w:rsid w:val="003C6F36"/>
    <w:rsid w:val="003D14E6"/>
    <w:rsid w:val="003D524D"/>
    <w:rsid w:val="003D7D3D"/>
    <w:rsid w:val="003F10D8"/>
    <w:rsid w:val="003F4193"/>
    <w:rsid w:val="003F77B0"/>
    <w:rsid w:val="00400638"/>
    <w:rsid w:val="00405F80"/>
    <w:rsid w:val="00416404"/>
    <w:rsid w:val="004264B0"/>
    <w:rsid w:val="00445ED0"/>
    <w:rsid w:val="004466A9"/>
    <w:rsid w:val="0045514D"/>
    <w:rsid w:val="0046515E"/>
    <w:rsid w:val="0047436B"/>
    <w:rsid w:val="00483747"/>
    <w:rsid w:val="004902CD"/>
    <w:rsid w:val="0049271B"/>
    <w:rsid w:val="00497D95"/>
    <w:rsid w:val="004A074D"/>
    <w:rsid w:val="004A6B28"/>
    <w:rsid w:val="004A6E80"/>
    <w:rsid w:val="004D379F"/>
    <w:rsid w:val="004D650C"/>
    <w:rsid w:val="004E110E"/>
    <w:rsid w:val="004F0040"/>
    <w:rsid w:val="005018B5"/>
    <w:rsid w:val="00503B28"/>
    <w:rsid w:val="00511139"/>
    <w:rsid w:val="005155C1"/>
    <w:rsid w:val="005203B6"/>
    <w:rsid w:val="005242AD"/>
    <w:rsid w:val="005436D0"/>
    <w:rsid w:val="00555B77"/>
    <w:rsid w:val="0057355D"/>
    <w:rsid w:val="00582B2F"/>
    <w:rsid w:val="00593B99"/>
    <w:rsid w:val="0059784C"/>
    <w:rsid w:val="005978C7"/>
    <w:rsid w:val="005A20E2"/>
    <w:rsid w:val="005A7D2E"/>
    <w:rsid w:val="005B57CE"/>
    <w:rsid w:val="005B5D5C"/>
    <w:rsid w:val="005C35F8"/>
    <w:rsid w:val="005E02BA"/>
    <w:rsid w:val="005F3B68"/>
    <w:rsid w:val="00602685"/>
    <w:rsid w:val="00603B0A"/>
    <w:rsid w:val="0060571A"/>
    <w:rsid w:val="0061331C"/>
    <w:rsid w:val="006262FC"/>
    <w:rsid w:val="00642804"/>
    <w:rsid w:val="0064439F"/>
    <w:rsid w:val="00646BDD"/>
    <w:rsid w:val="0065359E"/>
    <w:rsid w:val="00654F37"/>
    <w:rsid w:val="00660ACD"/>
    <w:rsid w:val="006642E7"/>
    <w:rsid w:val="006771F2"/>
    <w:rsid w:val="0068377E"/>
    <w:rsid w:val="00691AF0"/>
    <w:rsid w:val="00694F83"/>
    <w:rsid w:val="00697AF8"/>
    <w:rsid w:val="006A40AC"/>
    <w:rsid w:val="006B0432"/>
    <w:rsid w:val="006B1E29"/>
    <w:rsid w:val="006B3BF4"/>
    <w:rsid w:val="006B5826"/>
    <w:rsid w:val="006B6C0C"/>
    <w:rsid w:val="006C6E82"/>
    <w:rsid w:val="006D6CFE"/>
    <w:rsid w:val="006D76E5"/>
    <w:rsid w:val="006F253E"/>
    <w:rsid w:val="006F3A6B"/>
    <w:rsid w:val="00701A97"/>
    <w:rsid w:val="00701CDE"/>
    <w:rsid w:val="007069FF"/>
    <w:rsid w:val="0071271A"/>
    <w:rsid w:val="0071680F"/>
    <w:rsid w:val="00721A3C"/>
    <w:rsid w:val="007235DA"/>
    <w:rsid w:val="007253E1"/>
    <w:rsid w:val="00734E08"/>
    <w:rsid w:val="00735CFA"/>
    <w:rsid w:val="00735FB6"/>
    <w:rsid w:val="0073618F"/>
    <w:rsid w:val="00747F36"/>
    <w:rsid w:val="007514AB"/>
    <w:rsid w:val="00754290"/>
    <w:rsid w:val="00754498"/>
    <w:rsid w:val="0075590F"/>
    <w:rsid w:val="00756484"/>
    <w:rsid w:val="00763464"/>
    <w:rsid w:val="00776833"/>
    <w:rsid w:val="0078668C"/>
    <w:rsid w:val="00790039"/>
    <w:rsid w:val="007A0FB9"/>
    <w:rsid w:val="007B14E0"/>
    <w:rsid w:val="007C57A9"/>
    <w:rsid w:val="007C6CB9"/>
    <w:rsid w:val="007D2BC0"/>
    <w:rsid w:val="007D3C9B"/>
    <w:rsid w:val="007F30CB"/>
    <w:rsid w:val="007F60B3"/>
    <w:rsid w:val="008035EF"/>
    <w:rsid w:val="008062D6"/>
    <w:rsid w:val="008071CB"/>
    <w:rsid w:val="0081198C"/>
    <w:rsid w:val="008254FF"/>
    <w:rsid w:val="00830360"/>
    <w:rsid w:val="00832AC0"/>
    <w:rsid w:val="008435C9"/>
    <w:rsid w:val="008449E3"/>
    <w:rsid w:val="00855870"/>
    <w:rsid w:val="0087238E"/>
    <w:rsid w:val="00877B66"/>
    <w:rsid w:val="00887818"/>
    <w:rsid w:val="00897825"/>
    <w:rsid w:val="008A4DB6"/>
    <w:rsid w:val="008B4BD6"/>
    <w:rsid w:val="008B68E8"/>
    <w:rsid w:val="008C224B"/>
    <w:rsid w:val="008C24E6"/>
    <w:rsid w:val="008C2D1A"/>
    <w:rsid w:val="008C4D9D"/>
    <w:rsid w:val="008D5C2C"/>
    <w:rsid w:val="008D6412"/>
    <w:rsid w:val="008D768F"/>
    <w:rsid w:val="008F0267"/>
    <w:rsid w:val="00900F18"/>
    <w:rsid w:val="00912E03"/>
    <w:rsid w:val="0091785A"/>
    <w:rsid w:val="009301CB"/>
    <w:rsid w:val="0093392E"/>
    <w:rsid w:val="00935084"/>
    <w:rsid w:val="009445BA"/>
    <w:rsid w:val="009570DB"/>
    <w:rsid w:val="00963F33"/>
    <w:rsid w:val="009715D6"/>
    <w:rsid w:val="00971B3B"/>
    <w:rsid w:val="0098378D"/>
    <w:rsid w:val="00985409"/>
    <w:rsid w:val="00987326"/>
    <w:rsid w:val="00994859"/>
    <w:rsid w:val="009A1671"/>
    <w:rsid w:val="009A66CD"/>
    <w:rsid w:val="009A7ED2"/>
    <w:rsid w:val="009B2534"/>
    <w:rsid w:val="009B5B12"/>
    <w:rsid w:val="009B7B0F"/>
    <w:rsid w:val="009C1127"/>
    <w:rsid w:val="009E6DBB"/>
    <w:rsid w:val="009E77AC"/>
    <w:rsid w:val="009F5C67"/>
    <w:rsid w:val="009F6113"/>
    <w:rsid w:val="00A007F4"/>
    <w:rsid w:val="00A23B10"/>
    <w:rsid w:val="00A25571"/>
    <w:rsid w:val="00A25AB4"/>
    <w:rsid w:val="00A262F1"/>
    <w:rsid w:val="00A30CCF"/>
    <w:rsid w:val="00A3641B"/>
    <w:rsid w:val="00A4434C"/>
    <w:rsid w:val="00A634F6"/>
    <w:rsid w:val="00A77627"/>
    <w:rsid w:val="00AA0E52"/>
    <w:rsid w:val="00AA70F6"/>
    <w:rsid w:val="00AB32CF"/>
    <w:rsid w:val="00AB5A40"/>
    <w:rsid w:val="00AC7BB4"/>
    <w:rsid w:val="00B16D06"/>
    <w:rsid w:val="00B42227"/>
    <w:rsid w:val="00B54DEB"/>
    <w:rsid w:val="00B608BD"/>
    <w:rsid w:val="00B635FD"/>
    <w:rsid w:val="00B75C0D"/>
    <w:rsid w:val="00B77915"/>
    <w:rsid w:val="00B82CFC"/>
    <w:rsid w:val="00B84A94"/>
    <w:rsid w:val="00B90D34"/>
    <w:rsid w:val="00B97E05"/>
    <w:rsid w:val="00BA54F6"/>
    <w:rsid w:val="00BC36E1"/>
    <w:rsid w:val="00BC7451"/>
    <w:rsid w:val="00BE2107"/>
    <w:rsid w:val="00BE5771"/>
    <w:rsid w:val="00C012C4"/>
    <w:rsid w:val="00C04086"/>
    <w:rsid w:val="00C06DF6"/>
    <w:rsid w:val="00C12561"/>
    <w:rsid w:val="00C21C58"/>
    <w:rsid w:val="00C22DFC"/>
    <w:rsid w:val="00C235CF"/>
    <w:rsid w:val="00C248D5"/>
    <w:rsid w:val="00C3085F"/>
    <w:rsid w:val="00C330F9"/>
    <w:rsid w:val="00C54CCF"/>
    <w:rsid w:val="00C55CE5"/>
    <w:rsid w:val="00C721DD"/>
    <w:rsid w:val="00C80C4A"/>
    <w:rsid w:val="00C8294D"/>
    <w:rsid w:val="00C92ECE"/>
    <w:rsid w:val="00C9419A"/>
    <w:rsid w:val="00C95359"/>
    <w:rsid w:val="00CA5D74"/>
    <w:rsid w:val="00CB6B05"/>
    <w:rsid w:val="00CB7634"/>
    <w:rsid w:val="00CB78FF"/>
    <w:rsid w:val="00CC30E7"/>
    <w:rsid w:val="00CC6824"/>
    <w:rsid w:val="00CD4A4E"/>
    <w:rsid w:val="00D05F96"/>
    <w:rsid w:val="00D0641B"/>
    <w:rsid w:val="00D15993"/>
    <w:rsid w:val="00D21F86"/>
    <w:rsid w:val="00D25D6B"/>
    <w:rsid w:val="00D30CD2"/>
    <w:rsid w:val="00D434B6"/>
    <w:rsid w:val="00D46F9C"/>
    <w:rsid w:val="00D51F0B"/>
    <w:rsid w:val="00D6574B"/>
    <w:rsid w:val="00D70681"/>
    <w:rsid w:val="00D82759"/>
    <w:rsid w:val="00D96A06"/>
    <w:rsid w:val="00DE0B40"/>
    <w:rsid w:val="00DE3D73"/>
    <w:rsid w:val="00DE5956"/>
    <w:rsid w:val="00DF152D"/>
    <w:rsid w:val="00DF24CF"/>
    <w:rsid w:val="00E104C3"/>
    <w:rsid w:val="00E116A1"/>
    <w:rsid w:val="00E13EDA"/>
    <w:rsid w:val="00E22F5A"/>
    <w:rsid w:val="00E2376B"/>
    <w:rsid w:val="00E273C3"/>
    <w:rsid w:val="00E33296"/>
    <w:rsid w:val="00E36234"/>
    <w:rsid w:val="00E40699"/>
    <w:rsid w:val="00E4143F"/>
    <w:rsid w:val="00E503CA"/>
    <w:rsid w:val="00E61428"/>
    <w:rsid w:val="00E61436"/>
    <w:rsid w:val="00E72277"/>
    <w:rsid w:val="00E73F47"/>
    <w:rsid w:val="00E80FFB"/>
    <w:rsid w:val="00EA0E43"/>
    <w:rsid w:val="00EB2569"/>
    <w:rsid w:val="00EC2BB0"/>
    <w:rsid w:val="00F01655"/>
    <w:rsid w:val="00F04FBD"/>
    <w:rsid w:val="00F066C2"/>
    <w:rsid w:val="00F078B0"/>
    <w:rsid w:val="00F1678C"/>
    <w:rsid w:val="00F16B8C"/>
    <w:rsid w:val="00F27911"/>
    <w:rsid w:val="00F564FC"/>
    <w:rsid w:val="00F60D2B"/>
    <w:rsid w:val="00F6150B"/>
    <w:rsid w:val="00F63A0D"/>
    <w:rsid w:val="00F65269"/>
    <w:rsid w:val="00F654B8"/>
    <w:rsid w:val="00F65985"/>
    <w:rsid w:val="00F67A80"/>
    <w:rsid w:val="00FB37BD"/>
    <w:rsid w:val="00FC266A"/>
    <w:rsid w:val="00FD1A68"/>
    <w:rsid w:val="00FD4774"/>
    <w:rsid w:val="00FD7C16"/>
    <w:rsid w:val="00FE1CDA"/>
    <w:rsid w:val="00FE4037"/>
    <w:rsid w:val="00FE57BF"/>
    <w:rsid w:val="00FF4DC1"/>
    <w:rsid w:val="012B4701"/>
    <w:rsid w:val="01A473FF"/>
    <w:rsid w:val="01D628BE"/>
    <w:rsid w:val="02203B3A"/>
    <w:rsid w:val="0261487E"/>
    <w:rsid w:val="02CC7B09"/>
    <w:rsid w:val="03035935"/>
    <w:rsid w:val="036A7762"/>
    <w:rsid w:val="037C716B"/>
    <w:rsid w:val="038720C2"/>
    <w:rsid w:val="03930A79"/>
    <w:rsid w:val="03CA2248"/>
    <w:rsid w:val="03E219EE"/>
    <w:rsid w:val="04137DFA"/>
    <w:rsid w:val="047343F5"/>
    <w:rsid w:val="056A57F8"/>
    <w:rsid w:val="05F652DD"/>
    <w:rsid w:val="061439B5"/>
    <w:rsid w:val="066C1739"/>
    <w:rsid w:val="076C7F34"/>
    <w:rsid w:val="07F1509C"/>
    <w:rsid w:val="08A70B11"/>
    <w:rsid w:val="091A424A"/>
    <w:rsid w:val="091E40AA"/>
    <w:rsid w:val="09671F72"/>
    <w:rsid w:val="0972111F"/>
    <w:rsid w:val="09BC05EC"/>
    <w:rsid w:val="09E10052"/>
    <w:rsid w:val="09FB7366"/>
    <w:rsid w:val="0A6D7B38"/>
    <w:rsid w:val="0B15662E"/>
    <w:rsid w:val="0BE80A87"/>
    <w:rsid w:val="0CDA7707"/>
    <w:rsid w:val="0DB24763"/>
    <w:rsid w:val="0E9E4764"/>
    <w:rsid w:val="0EB9334C"/>
    <w:rsid w:val="0F8B28D2"/>
    <w:rsid w:val="0FBF79A8"/>
    <w:rsid w:val="10030B85"/>
    <w:rsid w:val="101051ED"/>
    <w:rsid w:val="10190546"/>
    <w:rsid w:val="12AA1929"/>
    <w:rsid w:val="12AB2A46"/>
    <w:rsid w:val="138403CC"/>
    <w:rsid w:val="1384217A"/>
    <w:rsid w:val="14E629C1"/>
    <w:rsid w:val="150D0E85"/>
    <w:rsid w:val="155D48B9"/>
    <w:rsid w:val="160E6673"/>
    <w:rsid w:val="1708666A"/>
    <w:rsid w:val="17D42FA4"/>
    <w:rsid w:val="19037FE5"/>
    <w:rsid w:val="19900A12"/>
    <w:rsid w:val="19C24C2F"/>
    <w:rsid w:val="19F33BB6"/>
    <w:rsid w:val="1A310B82"/>
    <w:rsid w:val="1A8D7508"/>
    <w:rsid w:val="1AC437A4"/>
    <w:rsid w:val="1B5A59F0"/>
    <w:rsid w:val="1BF105C9"/>
    <w:rsid w:val="1CB11B06"/>
    <w:rsid w:val="1CDD1FCF"/>
    <w:rsid w:val="1CFA16FF"/>
    <w:rsid w:val="1D2422D8"/>
    <w:rsid w:val="1D5202A2"/>
    <w:rsid w:val="1D532BBD"/>
    <w:rsid w:val="1DA13AFA"/>
    <w:rsid w:val="1E000793"/>
    <w:rsid w:val="1E370533"/>
    <w:rsid w:val="1EE95587"/>
    <w:rsid w:val="1F182311"/>
    <w:rsid w:val="1F5844BB"/>
    <w:rsid w:val="1F69491A"/>
    <w:rsid w:val="1F980D5B"/>
    <w:rsid w:val="1FA3063F"/>
    <w:rsid w:val="1FAD3F88"/>
    <w:rsid w:val="20897AC0"/>
    <w:rsid w:val="208D2876"/>
    <w:rsid w:val="20F46465"/>
    <w:rsid w:val="210B63F6"/>
    <w:rsid w:val="211D3DA7"/>
    <w:rsid w:val="2129610F"/>
    <w:rsid w:val="21747CD2"/>
    <w:rsid w:val="21FB3F4F"/>
    <w:rsid w:val="22291FCF"/>
    <w:rsid w:val="22AB6B3F"/>
    <w:rsid w:val="23937AC8"/>
    <w:rsid w:val="23E00F22"/>
    <w:rsid w:val="24B0361B"/>
    <w:rsid w:val="25203CCD"/>
    <w:rsid w:val="252D7F94"/>
    <w:rsid w:val="25FD42CD"/>
    <w:rsid w:val="26154EB4"/>
    <w:rsid w:val="26661BB3"/>
    <w:rsid w:val="267F67D1"/>
    <w:rsid w:val="26C012C4"/>
    <w:rsid w:val="28420146"/>
    <w:rsid w:val="299B7DC6"/>
    <w:rsid w:val="2A4E308A"/>
    <w:rsid w:val="2A940BA8"/>
    <w:rsid w:val="2B6A7A50"/>
    <w:rsid w:val="2B822FEC"/>
    <w:rsid w:val="2BDA654F"/>
    <w:rsid w:val="2CA15303"/>
    <w:rsid w:val="2E7B3D35"/>
    <w:rsid w:val="2EA927A9"/>
    <w:rsid w:val="2EAB0AAB"/>
    <w:rsid w:val="2F274D9B"/>
    <w:rsid w:val="2F6649D2"/>
    <w:rsid w:val="2F991CA5"/>
    <w:rsid w:val="30DD2A72"/>
    <w:rsid w:val="315076E8"/>
    <w:rsid w:val="3227669B"/>
    <w:rsid w:val="32854830"/>
    <w:rsid w:val="34930017"/>
    <w:rsid w:val="35244AF8"/>
    <w:rsid w:val="358D0FE4"/>
    <w:rsid w:val="35D7578A"/>
    <w:rsid w:val="35DC59EE"/>
    <w:rsid w:val="35E674FA"/>
    <w:rsid w:val="36405F7D"/>
    <w:rsid w:val="3652180C"/>
    <w:rsid w:val="36A007CA"/>
    <w:rsid w:val="378659C1"/>
    <w:rsid w:val="37922808"/>
    <w:rsid w:val="37EB1F18"/>
    <w:rsid w:val="38363929"/>
    <w:rsid w:val="38BD1B07"/>
    <w:rsid w:val="38F60B75"/>
    <w:rsid w:val="39380748"/>
    <w:rsid w:val="39FE4185"/>
    <w:rsid w:val="3A2B2AA0"/>
    <w:rsid w:val="3A396F6B"/>
    <w:rsid w:val="3AC67785"/>
    <w:rsid w:val="3AD55680"/>
    <w:rsid w:val="3B874CE3"/>
    <w:rsid w:val="3BE63813"/>
    <w:rsid w:val="3C3519B4"/>
    <w:rsid w:val="3DC6320C"/>
    <w:rsid w:val="3EFB0C93"/>
    <w:rsid w:val="3F5D7BA0"/>
    <w:rsid w:val="3F7B000C"/>
    <w:rsid w:val="3FBDE036"/>
    <w:rsid w:val="3FF3309B"/>
    <w:rsid w:val="3FF54374"/>
    <w:rsid w:val="403D52DB"/>
    <w:rsid w:val="404B6D6F"/>
    <w:rsid w:val="41B45A71"/>
    <w:rsid w:val="42E514F0"/>
    <w:rsid w:val="432205D2"/>
    <w:rsid w:val="436A63E7"/>
    <w:rsid w:val="437E6337"/>
    <w:rsid w:val="44537B7B"/>
    <w:rsid w:val="44B32884"/>
    <w:rsid w:val="44E879B5"/>
    <w:rsid w:val="45B846D6"/>
    <w:rsid w:val="46813FDD"/>
    <w:rsid w:val="47617B01"/>
    <w:rsid w:val="47F008D6"/>
    <w:rsid w:val="484F02A2"/>
    <w:rsid w:val="488C4C47"/>
    <w:rsid w:val="48C46704"/>
    <w:rsid w:val="492D2391"/>
    <w:rsid w:val="49D62A28"/>
    <w:rsid w:val="49E8450A"/>
    <w:rsid w:val="4A4A0D21"/>
    <w:rsid w:val="4A6E0CD3"/>
    <w:rsid w:val="4AD60806"/>
    <w:rsid w:val="4B683F6F"/>
    <w:rsid w:val="4BF74ED8"/>
    <w:rsid w:val="4BFC429C"/>
    <w:rsid w:val="4C013FBC"/>
    <w:rsid w:val="4C5FC75B"/>
    <w:rsid w:val="4C7402D7"/>
    <w:rsid w:val="4C8B22A5"/>
    <w:rsid w:val="4F0F2539"/>
    <w:rsid w:val="4F1B7FA7"/>
    <w:rsid w:val="4F55619D"/>
    <w:rsid w:val="4F7C497F"/>
    <w:rsid w:val="4FA7451F"/>
    <w:rsid w:val="4FE039D8"/>
    <w:rsid w:val="50264753"/>
    <w:rsid w:val="503A176D"/>
    <w:rsid w:val="51581605"/>
    <w:rsid w:val="51C26265"/>
    <w:rsid w:val="51FD48CA"/>
    <w:rsid w:val="528A2602"/>
    <w:rsid w:val="529A036B"/>
    <w:rsid w:val="529B7BC9"/>
    <w:rsid w:val="53255590"/>
    <w:rsid w:val="53853260"/>
    <w:rsid w:val="53D77AC9"/>
    <w:rsid w:val="53E06252"/>
    <w:rsid w:val="55F10BEA"/>
    <w:rsid w:val="57415259"/>
    <w:rsid w:val="5A335695"/>
    <w:rsid w:val="5AB77ABD"/>
    <w:rsid w:val="5B0847CE"/>
    <w:rsid w:val="5C2B2A4F"/>
    <w:rsid w:val="5CC63083"/>
    <w:rsid w:val="5CC83CEB"/>
    <w:rsid w:val="5CEB76B4"/>
    <w:rsid w:val="5D212727"/>
    <w:rsid w:val="5D464BE3"/>
    <w:rsid w:val="5DE03A1E"/>
    <w:rsid w:val="5DE30E18"/>
    <w:rsid w:val="5F3D2D8C"/>
    <w:rsid w:val="5F7F2DC3"/>
    <w:rsid w:val="5FF39DF9"/>
    <w:rsid w:val="603262EF"/>
    <w:rsid w:val="60B13450"/>
    <w:rsid w:val="60FE2644"/>
    <w:rsid w:val="625E7607"/>
    <w:rsid w:val="63021D41"/>
    <w:rsid w:val="63057A83"/>
    <w:rsid w:val="63AD76F5"/>
    <w:rsid w:val="642A7E72"/>
    <w:rsid w:val="64671D6D"/>
    <w:rsid w:val="64F102BF"/>
    <w:rsid w:val="64F551FD"/>
    <w:rsid w:val="654F5217"/>
    <w:rsid w:val="657F3B1C"/>
    <w:rsid w:val="660D1128"/>
    <w:rsid w:val="66553BDD"/>
    <w:rsid w:val="665925BF"/>
    <w:rsid w:val="67281F92"/>
    <w:rsid w:val="67397F49"/>
    <w:rsid w:val="67670D0C"/>
    <w:rsid w:val="677671A1"/>
    <w:rsid w:val="691A4E3E"/>
    <w:rsid w:val="691C78D4"/>
    <w:rsid w:val="6A3A6264"/>
    <w:rsid w:val="6A4315BC"/>
    <w:rsid w:val="6A57468A"/>
    <w:rsid w:val="6A8F27B0"/>
    <w:rsid w:val="6ACA6966"/>
    <w:rsid w:val="6AF6662F"/>
    <w:rsid w:val="6B596BBE"/>
    <w:rsid w:val="6C651125"/>
    <w:rsid w:val="6CD429A0"/>
    <w:rsid w:val="6D120AFE"/>
    <w:rsid w:val="6E2D7E8C"/>
    <w:rsid w:val="6E712470"/>
    <w:rsid w:val="6E7B6E4B"/>
    <w:rsid w:val="6E9A5523"/>
    <w:rsid w:val="6EC60143"/>
    <w:rsid w:val="6F024E2E"/>
    <w:rsid w:val="6F293585"/>
    <w:rsid w:val="6F2A4AF9"/>
    <w:rsid w:val="6FA348AB"/>
    <w:rsid w:val="6FD06242"/>
    <w:rsid w:val="701513F0"/>
    <w:rsid w:val="7060279C"/>
    <w:rsid w:val="70BF74C3"/>
    <w:rsid w:val="71C34D91"/>
    <w:rsid w:val="722B4B4E"/>
    <w:rsid w:val="722E0038"/>
    <w:rsid w:val="72E5624E"/>
    <w:rsid w:val="72EE0006"/>
    <w:rsid w:val="73987733"/>
    <w:rsid w:val="73B452D9"/>
    <w:rsid w:val="74BC04A6"/>
    <w:rsid w:val="752244C4"/>
    <w:rsid w:val="75285696"/>
    <w:rsid w:val="75287D2D"/>
    <w:rsid w:val="75822CF1"/>
    <w:rsid w:val="760D0CD1"/>
    <w:rsid w:val="76781F92"/>
    <w:rsid w:val="770045CD"/>
    <w:rsid w:val="77212C85"/>
    <w:rsid w:val="77534E09"/>
    <w:rsid w:val="775F515F"/>
    <w:rsid w:val="779C230C"/>
    <w:rsid w:val="796B2DFE"/>
    <w:rsid w:val="7AB67B89"/>
    <w:rsid w:val="7B547650"/>
    <w:rsid w:val="7CE26037"/>
    <w:rsid w:val="7D605990"/>
    <w:rsid w:val="7D8C038C"/>
    <w:rsid w:val="7DAE00ED"/>
    <w:rsid w:val="7DD16A88"/>
    <w:rsid w:val="7DD30D3F"/>
    <w:rsid w:val="7E1153D8"/>
    <w:rsid w:val="7EAB7A4E"/>
    <w:rsid w:val="7F2A1125"/>
    <w:rsid w:val="7F5576EC"/>
    <w:rsid w:val="7F6851CA"/>
    <w:rsid w:val="7FA2808B"/>
    <w:rsid w:val="BF7F01BF"/>
    <w:rsid w:val="CFFA9BEF"/>
    <w:rsid w:val="DFDBE67B"/>
    <w:rsid w:val="DFFF6725"/>
    <w:rsid w:val="EFF9420B"/>
    <w:rsid w:val="F557AB4B"/>
    <w:rsid w:val="F5A7D12F"/>
    <w:rsid w:val="F9F5FAF0"/>
    <w:rsid w:val="FFDF8FA6"/>
    <w:rsid w:val="FFEF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7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4"/>
      <w:szCs w:val="24"/>
      <w:lang w:eastAsia="zh-CN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页脚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1">
    <w:name w:val="批注文字 字符"/>
    <w:basedOn w:val="11"/>
    <w:link w:val="2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批注主题 字符"/>
    <w:basedOn w:val="21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3">
    <w:name w:val="批注框文本 字符"/>
    <w:basedOn w:val="11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4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25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26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7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0B19-EEC4-43BE-8B41-AA0BAD1377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3354</Words>
  <Characters>3808</Characters>
  <Lines>17</Lines>
  <Paragraphs>5</Paragraphs>
  <TotalTime>55</TotalTime>
  <ScaleCrop>false</ScaleCrop>
  <LinksUpToDate>false</LinksUpToDate>
  <CharactersWithSpaces>3950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2025-05-01T23:42:00Z</dcterms:created>
  <dc:creator>Data</dc:creator>
  <cp:lastModifiedBy>微信的彩虹</cp:lastModifiedBy>
  <dcterms:modified xsi:type="dcterms:W3CDTF">2026-04-03T10:06:46Z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2024-08-12T09:26:14Z</vt:filetime>
  </property>
  <property fmtid="{D5CDD505-2E9C-101B-9397-08002B2CF9AE}" pid="4" name="KSOProductBuildVer">
    <vt:lpwstr>2052-12.1.0.25225</vt:lpwstr>
  </property>
  <property fmtid="{D5CDD505-2E9C-101B-9397-08002B2CF9AE}" pid="5" name="ICV">
    <vt:lpwstr>DA312460F0E44C7887E5C4F85E7AB4C5_13</vt:lpwstr>
  </property>
  <property fmtid="{D5CDD505-2E9C-101B-9397-08002B2CF9AE}" pid="6" name="KSOTemplateDocerSaveRecord">
    <vt:lpwstr>eyJoZGlkIjoiZjVhNzZhN2NmNmE4NDc3MDlkNzBlNDA0NmIxYTIxMmYiLCJ1c2VySWQiOiIyNjA0NjA5MDEifQ==</vt:lpwstr>
  </property>
</Properties>
</file>