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3A118">
      <w:pPr>
        <w:spacing w:before="156" w:beforeLines="50" w:after="156" w:afterLines="50" w:line="400" w:lineRule="exact"/>
        <w:ind w:firstLine="0" w:firstLineChars="0"/>
        <w:rPr>
          <w:rFonts w:hint="eastAsia" w:ascii="宋体" w:hAnsi="宋体"/>
          <w:bCs/>
          <w:iCs/>
          <w:color w:val="000000"/>
          <w:sz w:val="24"/>
        </w:rPr>
      </w:pPr>
      <w:r>
        <w:rPr>
          <w:rFonts w:hint="eastAsia" w:ascii="宋体" w:hAnsi="宋体"/>
          <w:bCs/>
          <w:iCs/>
          <w:color w:val="000000"/>
          <w:sz w:val="24"/>
        </w:rPr>
        <w:t xml:space="preserve">证券代码：601828                        </w:t>
      </w:r>
      <w:r>
        <w:rPr>
          <w:rFonts w:ascii="宋体" w:hAnsi="宋体"/>
          <w:bCs/>
          <w:iCs/>
          <w:color w:val="000000"/>
          <w:sz w:val="24"/>
        </w:rPr>
        <w:t xml:space="preserve">         </w:t>
      </w:r>
      <w:r>
        <w:rPr>
          <w:rFonts w:hint="eastAsia" w:ascii="宋体" w:hAnsi="宋体"/>
          <w:bCs/>
          <w:iCs/>
          <w:color w:val="000000"/>
          <w:sz w:val="24"/>
        </w:rPr>
        <w:t xml:space="preserve">         证券简称：美凯龙</w:t>
      </w:r>
    </w:p>
    <w:p w14:paraId="6F081060">
      <w:pPr>
        <w:spacing w:before="156" w:beforeLines="50" w:after="156" w:afterLines="50" w:line="400" w:lineRule="exact"/>
        <w:ind w:firstLine="720" w:firstLineChars="300"/>
        <w:rPr>
          <w:rFonts w:hint="eastAsia" w:ascii="宋体" w:hAnsi="宋体"/>
          <w:bCs/>
          <w:iCs/>
          <w:color w:val="000000"/>
          <w:sz w:val="24"/>
        </w:rPr>
      </w:pPr>
    </w:p>
    <w:p w14:paraId="01EA3909">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红星美凯龙家居集团股份有限公司</w:t>
      </w:r>
    </w:p>
    <w:p w14:paraId="236919FA">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12166344">
      <w:pPr>
        <w:spacing w:line="400" w:lineRule="exact"/>
        <w:rPr>
          <w:rFonts w:hint="eastAsia" w:ascii="宋体" w:hAnsi="宋体"/>
          <w:bCs/>
          <w:iCs/>
          <w:color w:val="000000"/>
          <w:sz w:val="24"/>
        </w:rPr>
      </w:pPr>
      <w:r>
        <w:rPr>
          <w:rFonts w:hint="eastAsia" w:ascii="宋体" w:hAnsi="宋体"/>
          <w:bCs/>
          <w:iCs/>
          <w:color w:val="000000"/>
          <w:sz w:val="24"/>
        </w:rPr>
        <w:t xml:space="preserve">                                                              编号：2026-0</w:t>
      </w:r>
      <w:r>
        <w:rPr>
          <w:rFonts w:ascii="宋体" w:hAnsi="宋体"/>
          <w:bCs/>
          <w:iCs/>
          <w:color w:val="000000"/>
          <w:sz w:val="24"/>
        </w:rPr>
        <w:t>1</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80"/>
      </w:tblGrid>
      <w:tr w14:paraId="37A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FEADA34">
            <w:pPr>
              <w:spacing w:line="312" w:lineRule="auto"/>
              <w:rPr>
                <w:rFonts w:hint="eastAsia" w:ascii="宋体" w:hAnsi="宋体"/>
                <w:b/>
                <w:bCs/>
                <w:iCs/>
                <w:color w:val="000000"/>
                <w:sz w:val="24"/>
                <w:szCs w:val="24"/>
              </w:rPr>
            </w:pPr>
            <w:r>
              <w:rPr>
                <w:rFonts w:hint="eastAsia" w:ascii="宋体" w:hAnsi="宋体"/>
                <w:b/>
                <w:bCs/>
                <w:iCs/>
                <w:color w:val="000000"/>
                <w:sz w:val="24"/>
                <w:szCs w:val="24"/>
              </w:rPr>
              <w:t>投资者关系活动类别</w:t>
            </w:r>
          </w:p>
          <w:p w14:paraId="6FC1E710">
            <w:pPr>
              <w:spacing w:line="312" w:lineRule="auto"/>
              <w:rPr>
                <w:rFonts w:hint="eastAsia" w:ascii="宋体" w:hAnsi="宋体"/>
                <w:b/>
                <w:bCs/>
                <w:iCs/>
                <w:color w:val="000000"/>
                <w:sz w:val="24"/>
                <w:szCs w:val="24"/>
              </w:rPr>
            </w:pPr>
          </w:p>
        </w:tc>
        <w:tc>
          <w:tcPr>
            <w:tcW w:w="7380" w:type="dxa"/>
          </w:tcPr>
          <w:p w14:paraId="7CCA397C">
            <w:pPr>
              <w:spacing w:line="312" w:lineRule="auto"/>
              <w:rPr>
                <w:rFonts w:hint="eastAsia" w:ascii="宋体" w:hAnsi="宋体"/>
                <w:bCs/>
                <w:iCs/>
                <w:color w:val="000000"/>
                <w:sz w:val="24"/>
                <w:szCs w:val="24"/>
              </w:rPr>
            </w:pPr>
            <w:r>
              <w:rPr>
                <w:rFonts w:hint="eastAsia" w:ascii="宋体" w:hAnsi="宋体"/>
                <w:bCs/>
                <w:iCs/>
                <w:color w:val="000000"/>
                <w:sz w:val="24"/>
                <w:szCs w:val="24"/>
                <w:lang w:eastAsia="zh-CN"/>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14:paraId="750C40CE">
            <w:pPr>
              <w:spacing w:line="312" w:lineRule="auto"/>
              <w:rPr>
                <w:rFonts w:hint="eastAsia"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sz w:val="24"/>
                <w:szCs w:val="24"/>
                <w:lang w:eastAsia="zh-CN"/>
              </w:rPr>
              <w:t>□</w:t>
            </w:r>
            <w:r>
              <w:rPr>
                <w:rFonts w:hint="eastAsia" w:ascii="宋体" w:hAnsi="宋体"/>
                <w:sz w:val="24"/>
                <w:szCs w:val="24"/>
              </w:rPr>
              <w:t xml:space="preserve">业绩说明会 </w:t>
            </w:r>
          </w:p>
          <w:p w14:paraId="721F1B4A">
            <w:pPr>
              <w:spacing w:line="312" w:lineRule="auto"/>
              <w:rPr>
                <w:rFonts w:hint="eastAsia" w:ascii="宋体" w:hAnsi="宋体"/>
                <w:bCs/>
                <w:iCs/>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14:paraId="2E66DAD9">
            <w:pPr>
              <w:tabs>
                <w:tab w:val="left" w:pos="3045"/>
                <w:tab w:val="center" w:pos="3199"/>
              </w:tabs>
              <w:spacing w:line="312" w:lineRule="auto"/>
              <w:rPr>
                <w:rFonts w:hint="eastAsia"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r>
              <w:rPr>
                <w:rFonts w:ascii="宋体" w:hAnsi="宋体"/>
                <w:bCs/>
                <w:iCs/>
                <w:color w:val="000000"/>
                <w:sz w:val="24"/>
                <w:szCs w:val="24"/>
              </w:rPr>
              <w:tab/>
            </w:r>
          </w:p>
          <w:p w14:paraId="3AE67F23">
            <w:pPr>
              <w:tabs>
                <w:tab w:val="center" w:pos="3199"/>
              </w:tabs>
              <w:spacing w:line="312" w:lineRule="auto"/>
              <w:rPr>
                <w:rFonts w:hint="eastAsia"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14:paraId="774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908" w:type="dxa"/>
            <w:vAlign w:val="center"/>
          </w:tcPr>
          <w:p w14:paraId="4DA25581">
            <w:pPr>
              <w:spacing w:line="312" w:lineRule="auto"/>
              <w:rPr>
                <w:rFonts w:hint="eastAsia" w:ascii="宋体" w:hAnsi="宋体"/>
                <w:b/>
                <w:bCs/>
                <w:iCs/>
                <w:color w:val="000000"/>
                <w:sz w:val="24"/>
                <w:szCs w:val="24"/>
              </w:rPr>
            </w:pPr>
            <w:r>
              <w:rPr>
                <w:rFonts w:hint="eastAsia" w:ascii="宋体" w:hAnsi="宋体"/>
                <w:b/>
                <w:bCs/>
                <w:iCs/>
                <w:color w:val="000000"/>
                <w:sz w:val="24"/>
                <w:szCs w:val="24"/>
              </w:rPr>
              <w:t>参与单位名称及人员姓名</w:t>
            </w:r>
          </w:p>
        </w:tc>
        <w:tc>
          <w:tcPr>
            <w:tcW w:w="7380" w:type="dxa"/>
            <w:vAlign w:val="center"/>
          </w:tcPr>
          <w:p w14:paraId="37563F93">
            <w:pPr>
              <w:rPr>
                <w:rFonts w:hint="eastAsia" w:ascii="宋体" w:hAnsi="宋体"/>
                <w:bCs/>
                <w:iCs/>
                <w:color w:val="000000"/>
                <w:sz w:val="24"/>
                <w:szCs w:val="24"/>
              </w:rPr>
            </w:pPr>
            <w:r>
              <w:rPr>
                <w:rFonts w:ascii="宋体" w:hAnsi="宋体"/>
                <w:bCs/>
                <w:iCs/>
                <w:color w:val="000000"/>
                <w:sz w:val="24"/>
                <w:szCs w:val="24"/>
              </w:rPr>
              <w:t>王潇麟</w:t>
            </w:r>
            <w:r>
              <w:rPr>
                <w:rFonts w:ascii="宋体" w:hAnsi="宋体"/>
                <w:bCs/>
                <w:iCs/>
                <w:color w:val="000000"/>
                <w:sz w:val="24"/>
                <w:szCs w:val="24"/>
              </w:rPr>
              <w:tab/>
            </w:r>
            <w:r>
              <w:rPr>
                <w:rFonts w:ascii="宋体" w:hAnsi="宋体"/>
                <w:bCs/>
                <w:iCs/>
                <w:color w:val="000000"/>
                <w:sz w:val="24"/>
                <w:szCs w:val="24"/>
              </w:rPr>
              <w:t>北京乐雪私募基金管理合伙企业（有限合伙）</w:t>
            </w:r>
          </w:p>
          <w:p w14:paraId="41575422">
            <w:pPr>
              <w:rPr>
                <w:rFonts w:hint="eastAsia" w:ascii="宋体" w:hAnsi="宋体"/>
                <w:bCs/>
                <w:iCs/>
                <w:color w:val="000000"/>
                <w:sz w:val="24"/>
                <w:szCs w:val="24"/>
              </w:rPr>
            </w:pPr>
            <w:r>
              <w:rPr>
                <w:rFonts w:ascii="宋体" w:hAnsi="宋体"/>
                <w:bCs/>
                <w:iCs/>
                <w:color w:val="000000"/>
                <w:sz w:val="24"/>
                <w:szCs w:val="24"/>
              </w:rPr>
              <w:t>张珈玮</w:t>
            </w:r>
            <w:r>
              <w:rPr>
                <w:rFonts w:ascii="宋体" w:hAnsi="宋体"/>
                <w:bCs/>
                <w:iCs/>
                <w:color w:val="000000"/>
                <w:sz w:val="24"/>
                <w:szCs w:val="24"/>
              </w:rPr>
              <w:tab/>
            </w:r>
            <w:r>
              <w:rPr>
                <w:rFonts w:ascii="宋体" w:hAnsi="宋体"/>
                <w:bCs/>
                <w:iCs/>
                <w:color w:val="000000"/>
                <w:sz w:val="24"/>
                <w:szCs w:val="24"/>
              </w:rPr>
              <w:t>中意资产管理有限责任公司</w:t>
            </w:r>
          </w:p>
          <w:p w14:paraId="2EC6C5A1">
            <w:pPr>
              <w:rPr>
                <w:rFonts w:hint="eastAsia" w:ascii="宋体" w:hAnsi="宋体"/>
                <w:bCs/>
                <w:iCs/>
                <w:color w:val="000000"/>
                <w:sz w:val="24"/>
                <w:szCs w:val="24"/>
              </w:rPr>
            </w:pPr>
            <w:r>
              <w:rPr>
                <w:rFonts w:ascii="宋体" w:hAnsi="宋体"/>
                <w:bCs/>
                <w:iCs/>
                <w:color w:val="000000"/>
                <w:sz w:val="24"/>
                <w:szCs w:val="24"/>
              </w:rPr>
              <w:t>杨凡</w:t>
            </w:r>
            <w:r>
              <w:rPr>
                <w:rFonts w:ascii="宋体" w:hAnsi="宋体"/>
                <w:bCs/>
                <w:iCs/>
                <w:color w:val="000000"/>
                <w:sz w:val="24"/>
                <w:szCs w:val="24"/>
              </w:rPr>
              <w:tab/>
            </w:r>
            <w:r>
              <w:rPr>
                <w:rFonts w:ascii="宋体" w:hAnsi="宋体"/>
                <w:bCs/>
                <w:iCs/>
                <w:color w:val="000000"/>
                <w:sz w:val="24"/>
                <w:szCs w:val="24"/>
              </w:rPr>
              <w:t>浙商证券股份有限公司</w:t>
            </w:r>
          </w:p>
          <w:p w14:paraId="53DE15C4">
            <w:pPr>
              <w:rPr>
                <w:rFonts w:hint="eastAsia" w:ascii="宋体" w:hAnsi="宋体"/>
                <w:bCs/>
                <w:iCs/>
                <w:color w:val="000000"/>
                <w:sz w:val="24"/>
                <w:szCs w:val="24"/>
              </w:rPr>
            </w:pPr>
            <w:r>
              <w:rPr>
                <w:rFonts w:ascii="宋体" w:hAnsi="宋体"/>
                <w:bCs/>
                <w:iCs/>
                <w:color w:val="000000"/>
                <w:sz w:val="24"/>
                <w:szCs w:val="24"/>
              </w:rPr>
              <w:t>王湛</w:t>
            </w:r>
            <w:r>
              <w:rPr>
                <w:rFonts w:hint="eastAsia" w:ascii="宋体" w:hAnsi="宋体"/>
                <w:bCs/>
                <w:iCs/>
                <w:color w:val="000000"/>
                <w:sz w:val="24"/>
                <w:szCs w:val="24"/>
              </w:rPr>
              <w:t xml:space="preserve">   </w:t>
            </w:r>
            <w:r>
              <w:rPr>
                <w:rFonts w:ascii="宋体" w:hAnsi="宋体"/>
                <w:bCs/>
                <w:iCs/>
                <w:color w:val="000000"/>
                <w:sz w:val="24"/>
                <w:szCs w:val="24"/>
              </w:rPr>
              <w:t>太平洋证券</w:t>
            </w:r>
          </w:p>
          <w:p w14:paraId="6A8E754A">
            <w:pPr>
              <w:rPr>
                <w:rFonts w:hint="eastAsia" w:ascii="宋体" w:hAnsi="宋体"/>
                <w:bCs/>
                <w:iCs/>
                <w:color w:val="000000"/>
                <w:sz w:val="24"/>
                <w:szCs w:val="24"/>
              </w:rPr>
            </w:pPr>
            <w:r>
              <w:rPr>
                <w:rFonts w:ascii="宋体" w:hAnsi="宋体"/>
                <w:bCs/>
                <w:iCs/>
                <w:color w:val="000000"/>
                <w:sz w:val="24"/>
                <w:szCs w:val="24"/>
              </w:rPr>
              <w:t>刘晓迪</w:t>
            </w:r>
            <w:r>
              <w:rPr>
                <w:rFonts w:ascii="宋体" w:hAnsi="宋体"/>
                <w:bCs/>
                <w:iCs/>
                <w:color w:val="000000"/>
                <w:sz w:val="24"/>
                <w:szCs w:val="24"/>
              </w:rPr>
              <w:tab/>
            </w:r>
            <w:r>
              <w:rPr>
                <w:rFonts w:ascii="宋体" w:hAnsi="宋体"/>
                <w:bCs/>
                <w:iCs/>
                <w:color w:val="000000"/>
                <w:sz w:val="24"/>
                <w:szCs w:val="24"/>
              </w:rPr>
              <w:t>中银三星人寿保险有限公司</w:t>
            </w:r>
          </w:p>
          <w:p w14:paraId="5DDD4E4D">
            <w:pPr>
              <w:rPr>
                <w:rFonts w:hint="eastAsia" w:ascii="宋体" w:hAnsi="宋体"/>
                <w:bCs/>
                <w:iCs/>
                <w:color w:val="000000"/>
                <w:sz w:val="24"/>
                <w:szCs w:val="24"/>
              </w:rPr>
            </w:pPr>
            <w:r>
              <w:rPr>
                <w:rFonts w:ascii="宋体" w:hAnsi="宋体"/>
                <w:bCs/>
                <w:iCs/>
                <w:color w:val="000000"/>
                <w:sz w:val="24"/>
                <w:szCs w:val="24"/>
              </w:rPr>
              <w:t>董威</w:t>
            </w:r>
            <w:r>
              <w:rPr>
                <w:rFonts w:ascii="宋体" w:hAnsi="宋体"/>
                <w:bCs/>
                <w:iCs/>
                <w:color w:val="000000"/>
                <w:sz w:val="24"/>
                <w:szCs w:val="24"/>
              </w:rPr>
              <w:tab/>
            </w:r>
            <w:r>
              <w:rPr>
                <w:rFonts w:ascii="宋体" w:hAnsi="宋体"/>
                <w:bCs/>
                <w:iCs/>
                <w:color w:val="000000"/>
                <w:sz w:val="24"/>
                <w:szCs w:val="24"/>
              </w:rPr>
              <w:t>鹏华基金管理有限公司</w:t>
            </w:r>
          </w:p>
          <w:p w14:paraId="377F6457">
            <w:pPr>
              <w:rPr>
                <w:rFonts w:hint="eastAsia" w:ascii="宋体" w:hAnsi="宋体"/>
                <w:bCs/>
                <w:iCs/>
                <w:color w:val="000000"/>
                <w:sz w:val="24"/>
                <w:szCs w:val="24"/>
              </w:rPr>
            </w:pPr>
            <w:r>
              <w:rPr>
                <w:rFonts w:ascii="宋体" w:hAnsi="宋体"/>
                <w:bCs/>
                <w:iCs/>
                <w:color w:val="000000"/>
                <w:sz w:val="24"/>
                <w:szCs w:val="24"/>
              </w:rPr>
              <w:t>张小郭</w:t>
            </w:r>
            <w:r>
              <w:rPr>
                <w:rFonts w:ascii="宋体" w:hAnsi="宋体"/>
                <w:bCs/>
                <w:iCs/>
                <w:color w:val="000000"/>
                <w:sz w:val="24"/>
                <w:szCs w:val="24"/>
              </w:rPr>
              <w:tab/>
            </w:r>
            <w:r>
              <w:rPr>
                <w:rFonts w:ascii="宋体" w:hAnsi="宋体"/>
                <w:bCs/>
                <w:iCs/>
                <w:color w:val="000000"/>
                <w:sz w:val="24"/>
                <w:szCs w:val="24"/>
              </w:rPr>
              <w:t>创金合信基金管理有限公司</w:t>
            </w:r>
          </w:p>
          <w:p w14:paraId="67FA9FBE">
            <w:pPr>
              <w:rPr>
                <w:rFonts w:hint="eastAsia" w:ascii="宋体" w:hAnsi="宋体"/>
                <w:bCs/>
                <w:iCs/>
                <w:color w:val="000000"/>
                <w:sz w:val="24"/>
                <w:szCs w:val="24"/>
              </w:rPr>
            </w:pPr>
            <w:r>
              <w:rPr>
                <w:rFonts w:ascii="宋体" w:hAnsi="宋体"/>
                <w:bCs/>
                <w:iCs/>
                <w:color w:val="000000"/>
                <w:sz w:val="24"/>
                <w:szCs w:val="24"/>
              </w:rPr>
              <w:t>赵梦远</w:t>
            </w:r>
            <w:r>
              <w:rPr>
                <w:rFonts w:ascii="宋体" w:hAnsi="宋体"/>
                <w:bCs/>
                <w:iCs/>
                <w:color w:val="000000"/>
                <w:sz w:val="24"/>
                <w:szCs w:val="24"/>
              </w:rPr>
              <w:tab/>
            </w:r>
            <w:r>
              <w:rPr>
                <w:rFonts w:ascii="宋体" w:hAnsi="宋体"/>
                <w:bCs/>
                <w:iCs/>
                <w:color w:val="000000"/>
                <w:sz w:val="24"/>
                <w:szCs w:val="24"/>
              </w:rPr>
              <w:t>上海榜样投资管理有限公司</w:t>
            </w:r>
          </w:p>
          <w:p w14:paraId="149F2C9A">
            <w:pPr>
              <w:rPr>
                <w:rFonts w:hint="eastAsia" w:ascii="宋体" w:hAnsi="宋体"/>
                <w:bCs/>
                <w:iCs/>
                <w:color w:val="000000"/>
                <w:sz w:val="24"/>
                <w:szCs w:val="24"/>
              </w:rPr>
            </w:pPr>
            <w:r>
              <w:rPr>
                <w:rFonts w:ascii="宋体" w:hAnsi="宋体"/>
                <w:bCs/>
                <w:iCs/>
                <w:color w:val="000000"/>
                <w:sz w:val="24"/>
                <w:szCs w:val="24"/>
              </w:rPr>
              <w:t>生名扬</w:t>
            </w:r>
            <w:r>
              <w:rPr>
                <w:rFonts w:ascii="宋体" w:hAnsi="宋体"/>
                <w:bCs/>
                <w:iCs/>
                <w:color w:val="000000"/>
                <w:sz w:val="24"/>
                <w:szCs w:val="24"/>
              </w:rPr>
              <w:tab/>
            </w:r>
            <w:r>
              <w:rPr>
                <w:rFonts w:ascii="宋体" w:hAnsi="宋体"/>
                <w:bCs/>
                <w:iCs/>
                <w:color w:val="000000"/>
                <w:sz w:val="24"/>
                <w:szCs w:val="24"/>
              </w:rPr>
              <w:t>上海勤辰私募基金管理合伙企业（有限合伙）</w:t>
            </w:r>
          </w:p>
          <w:p w14:paraId="101D7D47">
            <w:pPr>
              <w:rPr>
                <w:rFonts w:hint="eastAsia" w:ascii="宋体" w:hAnsi="宋体"/>
                <w:bCs/>
                <w:iCs/>
                <w:color w:val="000000"/>
                <w:sz w:val="24"/>
                <w:szCs w:val="24"/>
              </w:rPr>
            </w:pPr>
            <w:r>
              <w:rPr>
                <w:rFonts w:ascii="宋体" w:hAnsi="宋体"/>
                <w:bCs/>
                <w:iCs/>
                <w:color w:val="000000"/>
                <w:sz w:val="24"/>
                <w:szCs w:val="24"/>
              </w:rPr>
              <w:t>毕建强</w:t>
            </w:r>
            <w:r>
              <w:rPr>
                <w:rFonts w:ascii="宋体" w:hAnsi="宋体"/>
                <w:bCs/>
                <w:iCs/>
                <w:color w:val="000000"/>
                <w:sz w:val="24"/>
                <w:szCs w:val="24"/>
              </w:rPr>
              <w:tab/>
            </w:r>
            <w:r>
              <w:rPr>
                <w:rFonts w:ascii="宋体" w:hAnsi="宋体"/>
                <w:bCs/>
                <w:iCs/>
                <w:color w:val="000000"/>
                <w:sz w:val="24"/>
                <w:szCs w:val="24"/>
              </w:rPr>
              <w:t>前海开源基金管理有限公司</w:t>
            </w:r>
          </w:p>
          <w:p w14:paraId="14C62EB8">
            <w:pPr>
              <w:rPr>
                <w:rFonts w:hint="eastAsia" w:ascii="宋体" w:hAnsi="宋体"/>
                <w:bCs/>
                <w:iCs/>
                <w:color w:val="000000"/>
                <w:sz w:val="24"/>
                <w:szCs w:val="24"/>
              </w:rPr>
            </w:pPr>
            <w:r>
              <w:rPr>
                <w:rFonts w:ascii="宋体" w:hAnsi="宋体"/>
                <w:bCs/>
                <w:iCs/>
                <w:color w:val="000000"/>
                <w:sz w:val="24"/>
                <w:szCs w:val="24"/>
              </w:rPr>
              <w:t>汪中昊</w:t>
            </w:r>
            <w:r>
              <w:rPr>
                <w:rFonts w:ascii="宋体" w:hAnsi="宋体"/>
                <w:bCs/>
                <w:iCs/>
                <w:color w:val="000000"/>
                <w:sz w:val="24"/>
                <w:szCs w:val="24"/>
              </w:rPr>
              <w:tab/>
            </w:r>
            <w:r>
              <w:rPr>
                <w:rFonts w:ascii="宋体" w:hAnsi="宋体"/>
                <w:bCs/>
                <w:iCs/>
                <w:color w:val="000000"/>
                <w:sz w:val="24"/>
                <w:szCs w:val="24"/>
              </w:rPr>
              <w:t>长江证券（上海）资产管理有限公司</w:t>
            </w:r>
          </w:p>
          <w:p w14:paraId="1627A663">
            <w:pPr>
              <w:rPr>
                <w:rFonts w:hint="eastAsia" w:ascii="宋体" w:hAnsi="宋体"/>
                <w:bCs/>
                <w:iCs/>
                <w:color w:val="000000"/>
                <w:sz w:val="24"/>
                <w:szCs w:val="24"/>
              </w:rPr>
            </w:pPr>
            <w:r>
              <w:rPr>
                <w:rFonts w:ascii="宋体" w:hAnsi="宋体"/>
                <w:bCs/>
                <w:iCs/>
                <w:color w:val="000000"/>
                <w:sz w:val="24"/>
                <w:szCs w:val="24"/>
              </w:rPr>
              <w:t>林昕宇</w:t>
            </w:r>
            <w:r>
              <w:rPr>
                <w:rFonts w:ascii="宋体" w:hAnsi="宋体"/>
                <w:bCs/>
                <w:iCs/>
                <w:color w:val="000000"/>
                <w:sz w:val="24"/>
                <w:szCs w:val="24"/>
              </w:rPr>
              <w:tab/>
            </w:r>
            <w:r>
              <w:rPr>
                <w:rFonts w:ascii="宋体" w:hAnsi="宋体"/>
                <w:bCs/>
                <w:iCs/>
                <w:color w:val="000000"/>
                <w:sz w:val="24"/>
                <w:szCs w:val="24"/>
              </w:rPr>
              <w:t>国泰君安证券股份有限公司</w:t>
            </w:r>
          </w:p>
          <w:p w14:paraId="24255061">
            <w:pPr>
              <w:rPr>
                <w:rFonts w:hint="eastAsia" w:ascii="宋体" w:hAnsi="宋体"/>
                <w:bCs/>
                <w:iCs/>
                <w:color w:val="000000"/>
                <w:sz w:val="24"/>
                <w:szCs w:val="24"/>
              </w:rPr>
            </w:pPr>
            <w:r>
              <w:rPr>
                <w:rFonts w:ascii="宋体" w:hAnsi="宋体"/>
                <w:bCs/>
                <w:iCs/>
                <w:color w:val="000000"/>
                <w:sz w:val="24"/>
                <w:szCs w:val="24"/>
              </w:rPr>
              <w:t>马敦超</w:t>
            </w:r>
            <w:r>
              <w:rPr>
                <w:rFonts w:ascii="宋体" w:hAnsi="宋体"/>
                <w:bCs/>
                <w:iCs/>
                <w:color w:val="000000"/>
                <w:sz w:val="24"/>
                <w:szCs w:val="24"/>
              </w:rPr>
              <w:tab/>
            </w:r>
            <w:r>
              <w:rPr>
                <w:rFonts w:ascii="宋体" w:hAnsi="宋体"/>
                <w:bCs/>
                <w:iCs/>
                <w:color w:val="000000"/>
                <w:sz w:val="24"/>
                <w:szCs w:val="24"/>
              </w:rPr>
              <w:t>泰康基金管理有限公司</w:t>
            </w:r>
          </w:p>
          <w:p w14:paraId="787C2456">
            <w:pPr>
              <w:rPr>
                <w:rFonts w:hint="eastAsia" w:ascii="宋体" w:hAnsi="宋体"/>
                <w:bCs/>
                <w:iCs/>
                <w:color w:val="000000"/>
                <w:sz w:val="24"/>
                <w:szCs w:val="24"/>
              </w:rPr>
            </w:pPr>
            <w:r>
              <w:rPr>
                <w:rFonts w:ascii="宋体" w:hAnsi="宋体"/>
                <w:bCs/>
                <w:iCs/>
                <w:color w:val="000000"/>
                <w:sz w:val="24"/>
                <w:szCs w:val="24"/>
              </w:rPr>
              <w:t>林小聪</w:t>
            </w:r>
            <w:r>
              <w:rPr>
                <w:rFonts w:ascii="宋体" w:hAnsi="宋体"/>
                <w:bCs/>
                <w:iCs/>
                <w:color w:val="000000"/>
                <w:sz w:val="24"/>
                <w:szCs w:val="24"/>
              </w:rPr>
              <w:tab/>
            </w:r>
            <w:r>
              <w:rPr>
                <w:rFonts w:ascii="宋体" w:hAnsi="宋体"/>
                <w:bCs/>
                <w:iCs/>
                <w:color w:val="000000"/>
                <w:sz w:val="24"/>
                <w:szCs w:val="24"/>
              </w:rPr>
              <w:t>国泰基金管理有限公司</w:t>
            </w:r>
          </w:p>
          <w:p w14:paraId="02AAE2BC">
            <w:pPr>
              <w:rPr>
                <w:rFonts w:hint="eastAsia" w:ascii="宋体" w:hAnsi="宋体"/>
                <w:bCs/>
                <w:iCs/>
                <w:color w:val="000000"/>
                <w:sz w:val="24"/>
                <w:szCs w:val="24"/>
              </w:rPr>
            </w:pPr>
            <w:r>
              <w:rPr>
                <w:rFonts w:ascii="宋体" w:hAnsi="宋体"/>
                <w:bCs/>
                <w:iCs/>
                <w:color w:val="000000"/>
                <w:sz w:val="24"/>
                <w:szCs w:val="24"/>
              </w:rPr>
              <w:t>傅嘉成</w:t>
            </w:r>
            <w:r>
              <w:rPr>
                <w:rFonts w:ascii="宋体" w:hAnsi="宋体"/>
                <w:bCs/>
                <w:iCs/>
                <w:color w:val="000000"/>
                <w:sz w:val="24"/>
                <w:szCs w:val="24"/>
              </w:rPr>
              <w:tab/>
            </w:r>
            <w:r>
              <w:rPr>
                <w:rFonts w:ascii="宋体" w:hAnsi="宋体"/>
                <w:bCs/>
                <w:iCs/>
                <w:color w:val="000000"/>
                <w:sz w:val="24"/>
                <w:szCs w:val="24"/>
              </w:rPr>
              <w:t>浙商证券股份有限公司</w:t>
            </w:r>
          </w:p>
          <w:p w14:paraId="5CAA83E5">
            <w:pPr>
              <w:rPr>
                <w:rFonts w:hint="eastAsia" w:ascii="宋体" w:hAnsi="宋体"/>
                <w:bCs/>
                <w:iCs/>
                <w:color w:val="000000"/>
                <w:sz w:val="24"/>
                <w:szCs w:val="24"/>
              </w:rPr>
            </w:pPr>
            <w:r>
              <w:rPr>
                <w:rFonts w:ascii="宋体" w:hAnsi="宋体"/>
                <w:bCs/>
                <w:iCs/>
                <w:color w:val="000000"/>
                <w:sz w:val="24"/>
                <w:szCs w:val="24"/>
              </w:rPr>
              <w:t>汪达</w:t>
            </w:r>
            <w:r>
              <w:rPr>
                <w:rFonts w:ascii="宋体" w:hAnsi="宋体"/>
                <w:bCs/>
                <w:iCs/>
                <w:color w:val="000000"/>
                <w:sz w:val="24"/>
                <w:szCs w:val="24"/>
              </w:rPr>
              <w:tab/>
            </w:r>
            <w:r>
              <w:rPr>
                <w:rFonts w:ascii="宋体" w:hAnsi="宋体"/>
                <w:bCs/>
                <w:iCs/>
                <w:color w:val="000000"/>
                <w:sz w:val="24"/>
                <w:szCs w:val="24"/>
              </w:rPr>
              <w:t>金鹰基金管理有限公司</w:t>
            </w:r>
          </w:p>
          <w:p w14:paraId="5B12EE55">
            <w:pPr>
              <w:rPr>
                <w:rFonts w:hint="eastAsia" w:ascii="宋体" w:hAnsi="宋体"/>
                <w:bCs/>
                <w:iCs/>
                <w:color w:val="000000"/>
                <w:sz w:val="24"/>
                <w:szCs w:val="24"/>
              </w:rPr>
            </w:pPr>
            <w:r>
              <w:rPr>
                <w:rFonts w:ascii="宋体" w:hAnsi="宋体"/>
                <w:bCs/>
                <w:iCs/>
                <w:color w:val="000000"/>
                <w:sz w:val="24"/>
                <w:szCs w:val="24"/>
              </w:rPr>
              <w:t>陈竞</w:t>
            </w:r>
            <w:r>
              <w:rPr>
                <w:rFonts w:ascii="宋体" w:hAnsi="宋体"/>
                <w:bCs/>
                <w:iCs/>
                <w:color w:val="000000"/>
                <w:sz w:val="24"/>
                <w:szCs w:val="24"/>
              </w:rPr>
              <w:tab/>
            </w:r>
            <w:r>
              <w:rPr>
                <w:rFonts w:ascii="宋体" w:hAnsi="宋体"/>
                <w:bCs/>
                <w:iCs/>
                <w:color w:val="000000"/>
                <w:sz w:val="24"/>
                <w:szCs w:val="24"/>
              </w:rPr>
              <w:t>上海于翼资产管理合伙企业（有限合伙）</w:t>
            </w:r>
          </w:p>
          <w:p w14:paraId="110CA4AC">
            <w:pPr>
              <w:rPr>
                <w:rFonts w:hint="eastAsia" w:ascii="宋体" w:hAnsi="宋体"/>
                <w:bCs/>
                <w:iCs/>
                <w:color w:val="000000"/>
                <w:sz w:val="24"/>
                <w:szCs w:val="24"/>
              </w:rPr>
            </w:pPr>
            <w:r>
              <w:rPr>
                <w:rFonts w:ascii="宋体" w:hAnsi="宋体"/>
                <w:bCs/>
                <w:iCs/>
                <w:color w:val="000000"/>
                <w:sz w:val="24"/>
                <w:szCs w:val="24"/>
              </w:rPr>
              <w:t>周冲</w:t>
            </w:r>
            <w:r>
              <w:rPr>
                <w:rFonts w:ascii="宋体" w:hAnsi="宋体"/>
                <w:bCs/>
                <w:iCs/>
                <w:color w:val="000000"/>
                <w:sz w:val="24"/>
                <w:szCs w:val="24"/>
              </w:rPr>
              <w:tab/>
            </w:r>
            <w:r>
              <w:rPr>
                <w:rFonts w:ascii="宋体" w:hAnsi="宋体"/>
                <w:bCs/>
                <w:iCs/>
                <w:color w:val="000000"/>
                <w:sz w:val="24"/>
                <w:szCs w:val="24"/>
              </w:rPr>
              <w:t>汇安基金管理有限责任公司</w:t>
            </w:r>
          </w:p>
          <w:p w14:paraId="2BD01D21">
            <w:pPr>
              <w:rPr>
                <w:rFonts w:hint="eastAsia" w:ascii="宋体" w:hAnsi="宋体"/>
                <w:bCs/>
                <w:iCs/>
                <w:color w:val="000000"/>
                <w:sz w:val="24"/>
                <w:szCs w:val="24"/>
              </w:rPr>
            </w:pPr>
            <w:r>
              <w:rPr>
                <w:rFonts w:ascii="宋体" w:hAnsi="宋体"/>
                <w:bCs/>
                <w:iCs/>
                <w:color w:val="000000"/>
                <w:sz w:val="24"/>
                <w:szCs w:val="24"/>
              </w:rPr>
              <w:t>董源</w:t>
            </w:r>
            <w:r>
              <w:rPr>
                <w:rFonts w:ascii="宋体" w:hAnsi="宋体"/>
                <w:bCs/>
                <w:iCs/>
                <w:color w:val="000000"/>
                <w:sz w:val="24"/>
                <w:szCs w:val="24"/>
              </w:rPr>
              <w:tab/>
            </w:r>
            <w:r>
              <w:rPr>
                <w:rFonts w:ascii="宋体" w:hAnsi="宋体"/>
                <w:bCs/>
                <w:iCs/>
                <w:color w:val="000000"/>
                <w:sz w:val="24"/>
                <w:szCs w:val="24"/>
              </w:rPr>
              <w:t>上海开思私募基金管理有限公司</w:t>
            </w:r>
          </w:p>
          <w:p w14:paraId="57E07185">
            <w:pPr>
              <w:rPr>
                <w:rFonts w:hint="eastAsia" w:ascii="宋体" w:hAnsi="宋体"/>
                <w:bCs/>
                <w:iCs/>
                <w:color w:val="000000"/>
                <w:sz w:val="24"/>
                <w:szCs w:val="24"/>
              </w:rPr>
            </w:pPr>
            <w:r>
              <w:rPr>
                <w:rFonts w:ascii="宋体" w:hAnsi="宋体"/>
                <w:bCs/>
                <w:iCs/>
                <w:color w:val="000000"/>
                <w:sz w:val="24"/>
                <w:szCs w:val="24"/>
              </w:rPr>
              <w:t>孙瑞</w:t>
            </w:r>
            <w:r>
              <w:rPr>
                <w:rFonts w:ascii="宋体" w:hAnsi="宋体"/>
                <w:bCs/>
                <w:iCs/>
                <w:color w:val="000000"/>
                <w:sz w:val="24"/>
                <w:szCs w:val="24"/>
              </w:rPr>
              <w:tab/>
            </w:r>
            <w:r>
              <w:rPr>
                <w:rFonts w:ascii="宋体" w:hAnsi="宋体"/>
                <w:bCs/>
                <w:iCs/>
                <w:color w:val="000000"/>
                <w:sz w:val="24"/>
                <w:szCs w:val="24"/>
              </w:rPr>
              <w:t>中加基金管理有限公司</w:t>
            </w:r>
          </w:p>
          <w:p w14:paraId="29D6E138">
            <w:pPr>
              <w:rPr>
                <w:rFonts w:hint="eastAsia" w:ascii="宋体" w:hAnsi="宋体"/>
                <w:bCs/>
                <w:iCs/>
                <w:color w:val="000000"/>
                <w:sz w:val="24"/>
                <w:szCs w:val="24"/>
              </w:rPr>
            </w:pPr>
            <w:r>
              <w:rPr>
                <w:rFonts w:ascii="宋体" w:hAnsi="宋体"/>
                <w:bCs/>
                <w:iCs/>
                <w:color w:val="000000"/>
                <w:sz w:val="24"/>
                <w:szCs w:val="24"/>
              </w:rPr>
              <w:t>李曦辰</w:t>
            </w:r>
            <w:r>
              <w:rPr>
                <w:rFonts w:ascii="宋体" w:hAnsi="宋体"/>
                <w:bCs/>
                <w:iCs/>
                <w:color w:val="000000"/>
                <w:sz w:val="24"/>
                <w:szCs w:val="24"/>
              </w:rPr>
              <w:tab/>
            </w:r>
            <w:r>
              <w:rPr>
                <w:rFonts w:ascii="宋体" w:hAnsi="宋体"/>
                <w:bCs/>
                <w:iCs/>
                <w:color w:val="000000"/>
                <w:sz w:val="24"/>
                <w:szCs w:val="24"/>
              </w:rPr>
              <w:t>阳光资产管理股份有限公司</w:t>
            </w:r>
          </w:p>
          <w:p w14:paraId="355C4FCC">
            <w:pPr>
              <w:rPr>
                <w:rFonts w:hint="eastAsia" w:ascii="宋体" w:hAnsi="宋体"/>
                <w:bCs/>
                <w:iCs/>
                <w:color w:val="000000"/>
                <w:sz w:val="24"/>
                <w:szCs w:val="24"/>
              </w:rPr>
            </w:pPr>
            <w:r>
              <w:rPr>
                <w:rFonts w:ascii="宋体" w:hAnsi="宋体"/>
                <w:bCs/>
                <w:iCs/>
                <w:color w:val="000000"/>
                <w:sz w:val="24"/>
                <w:szCs w:val="24"/>
              </w:rPr>
              <w:t>洪少猛</w:t>
            </w:r>
            <w:r>
              <w:rPr>
                <w:rFonts w:ascii="宋体" w:hAnsi="宋体"/>
                <w:bCs/>
                <w:iCs/>
                <w:color w:val="000000"/>
                <w:sz w:val="24"/>
                <w:szCs w:val="24"/>
              </w:rPr>
              <w:tab/>
            </w:r>
            <w:r>
              <w:rPr>
                <w:rFonts w:ascii="宋体" w:hAnsi="宋体"/>
                <w:bCs/>
                <w:iCs/>
                <w:color w:val="000000"/>
                <w:sz w:val="24"/>
                <w:szCs w:val="24"/>
              </w:rPr>
              <w:t>苏州景千投资管理有限公司</w:t>
            </w:r>
          </w:p>
          <w:p w14:paraId="57332C70">
            <w:pPr>
              <w:rPr>
                <w:rFonts w:hint="eastAsia" w:ascii="宋体" w:hAnsi="宋体"/>
                <w:bCs/>
                <w:iCs/>
                <w:color w:val="000000"/>
                <w:sz w:val="24"/>
                <w:szCs w:val="24"/>
              </w:rPr>
            </w:pPr>
            <w:r>
              <w:rPr>
                <w:rFonts w:ascii="宋体" w:hAnsi="宋体"/>
                <w:bCs/>
                <w:iCs/>
                <w:color w:val="000000"/>
                <w:sz w:val="24"/>
                <w:szCs w:val="24"/>
              </w:rPr>
              <w:t>边佳璐</w:t>
            </w:r>
            <w:r>
              <w:rPr>
                <w:rFonts w:ascii="宋体" w:hAnsi="宋体"/>
                <w:bCs/>
                <w:iCs/>
                <w:color w:val="000000"/>
                <w:sz w:val="24"/>
                <w:szCs w:val="24"/>
              </w:rPr>
              <w:tab/>
            </w:r>
            <w:r>
              <w:rPr>
                <w:rFonts w:ascii="宋体" w:hAnsi="宋体"/>
                <w:bCs/>
                <w:iCs/>
                <w:color w:val="000000"/>
                <w:sz w:val="24"/>
                <w:szCs w:val="24"/>
              </w:rPr>
              <w:t>杭州军璐投资有限公司</w:t>
            </w:r>
          </w:p>
          <w:p w14:paraId="559B4056">
            <w:pPr>
              <w:rPr>
                <w:rFonts w:hint="eastAsia" w:ascii="宋体" w:hAnsi="宋体"/>
                <w:bCs/>
                <w:iCs/>
                <w:color w:val="000000"/>
                <w:sz w:val="24"/>
                <w:szCs w:val="24"/>
              </w:rPr>
            </w:pPr>
            <w:r>
              <w:rPr>
                <w:rFonts w:ascii="宋体" w:hAnsi="宋体"/>
                <w:bCs/>
                <w:iCs/>
                <w:color w:val="000000"/>
                <w:sz w:val="24"/>
                <w:szCs w:val="24"/>
              </w:rPr>
              <w:t>杨佳</w:t>
            </w:r>
            <w:r>
              <w:rPr>
                <w:rFonts w:ascii="宋体" w:hAnsi="宋体"/>
                <w:bCs/>
                <w:iCs/>
                <w:color w:val="000000"/>
                <w:sz w:val="24"/>
                <w:szCs w:val="24"/>
              </w:rPr>
              <w:tab/>
            </w:r>
            <w:r>
              <w:rPr>
                <w:rFonts w:ascii="宋体" w:hAnsi="宋体"/>
                <w:bCs/>
                <w:iCs/>
                <w:color w:val="000000"/>
                <w:sz w:val="24"/>
                <w:szCs w:val="24"/>
              </w:rPr>
              <w:t>友邦人寿保险有限公司</w:t>
            </w:r>
          </w:p>
          <w:p w14:paraId="562D59DC">
            <w:pPr>
              <w:rPr>
                <w:rFonts w:hint="eastAsia" w:ascii="宋体" w:hAnsi="宋体"/>
                <w:bCs/>
                <w:iCs/>
                <w:color w:val="000000"/>
                <w:sz w:val="24"/>
                <w:szCs w:val="24"/>
              </w:rPr>
            </w:pPr>
            <w:r>
              <w:rPr>
                <w:rFonts w:ascii="宋体" w:hAnsi="宋体"/>
                <w:bCs/>
                <w:iCs/>
                <w:color w:val="000000"/>
                <w:sz w:val="24"/>
                <w:szCs w:val="24"/>
              </w:rPr>
              <w:t>陈鹏</w:t>
            </w:r>
            <w:r>
              <w:rPr>
                <w:rFonts w:ascii="宋体" w:hAnsi="宋体"/>
                <w:bCs/>
                <w:iCs/>
                <w:color w:val="000000"/>
                <w:sz w:val="24"/>
                <w:szCs w:val="24"/>
              </w:rPr>
              <w:tab/>
            </w:r>
            <w:r>
              <w:rPr>
                <w:rFonts w:ascii="宋体" w:hAnsi="宋体"/>
                <w:bCs/>
                <w:iCs/>
                <w:color w:val="000000"/>
                <w:sz w:val="24"/>
                <w:szCs w:val="24"/>
              </w:rPr>
              <w:t>申万宏源证券有限公司</w:t>
            </w:r>
          </w:p>
          <w:p w14:paraId="0226F96F">
            <w:pPr>
              <w:rPr>
                <w:rFonts w:hint="eastAsia" w:ascii="宋体" w:hAnsi="宋体"/>
                <w:bCs/>
                <w:iCs/>
                <w:color w:val="000000"/>
                <w:sz w:val="24"/>
                <w:szCs w:val="24"/>
              </w:rPr>
            </w:pPr>
            <w:r>
              <w:rPr>
                <w:rFonts w:ascii="宋体" w:hAnsi="宋体"/>
                <w:bCs/>
                <w:iCs/>
                <w:color w:val="000000"/>
                <w:sz w:val="24"/>
                <w:szCs w:val="24"/>
              </w:rPr>
              <w:t>杨洋</w:t>
            </w:r>
            <w:r>
              <w:rPr>
                <w:rFonts w:ascii="宋体" w:hAnsi="宋体"/>
                <w:bCs/>
                <w:iCs/>
                <w:color w:val="000000"/>
                <w:sz w:val="24"/>
                <w:szCs w:val="24"/>
              </w:rPr>
              <w:tab/>
            </w:r>
            <w:r>
              <w:rPr>
                <w:rFonts w:ascii="宋体" w:hAnsi="宋体"/>
                <w:bCs/>
                <w:iCs/>
                <w:color w:val="000000"/>
                <w:sz w:val="24"/>
                <w:szCs w:val="24"/>
              </w:rPr>
              <w:t>杭州中财益澄股权投资有限公司</w:t>
            </w:r>
          </w:p>
          <w:p w14:paraId="1425DA86">
            <w:pPr>
              <w:rPr>
                <w:rFonts w:hint="eastAsia" w:ascii="宋体" w:hAnsi="宋体"/>
                <w:bCs/>
                <w:iCs/>
                <w:color w:val="000000"/>
                <w:sz w:val="24"/>
                <w:szCs w:val="24"/>
              </w:rPr>
            </w:pPr>
            <w:r>
              <w:rPr>
                <w:rFonts w:ascii="宋体" w:hAnsi="宋体"/>
                <w:bCs/>
                <w:iCs/>
                <w:color w:val="000000"/>
                <w:sz w:val="24"/>
                <w:szCs w:val="24"/>
              </w:rPr>
              <w:t>史国财</w:t>
            </w:r>
            <w:r>
              <w:rPr>
                <w:rFonts w:ascii="宋体" w:hAnsi="宋体"/>
                <w:bCs/>
                <w:iCs/>
                <w:color w:val="000000"/>
                <w:sz w:val="24"/>
                <w:szCs w:val="24"/>
              </w:rPr>
              <w:tab/>
            </w:r>
            <w:r>
              <w:rPr>
                <w:rFonts w:ascii="宋体" w:hAnsi="宋体"/>
                <w:bCs/>
                <w:iCs/>
                <w:color w:val="000000"/>
                <w:sz w:val="24"/>
                <w:szCs w:val="24"/>
              </w:rPr>
              <w:t>仁桥（北京）资产管理有限公司</w:t>
            </w:r>
          </w:p>
          <w:p w14:paraId="2B4A8BAC">
            <w:pPr>
              <w:rPr>
                <w:rFonts w:hint="eastAsia" w:ascii="宋体" w:hAnsi="宋体"/>
                <w:bCs/>
                <w:iCs/>
                <w:color w:val="000000"/>
                <w:sz w:val="24"/>
                <w:szCs w:val="24"/>
              </w:rPr>
            </w:pPr>
            <w:r>
              <w:rPr>
                <w:rFonts w:ascii="宋体" w:hAnsi="宋体"/>
                <w:bCs/>
                <w:iCs/>
                <w:color w:val="000000"/>
                <w:sz w:val="24"/>
                <w:szCs w:val="24"/>
              </w:rPr>
              <w:t>刘佳昆</w:t>
            </w:r>
            <w:r>
              <w:rPr>
                <w:rFonts w:ascii="宋体" w:hAnsi="宋体"/>
                <w:bCs/>
                <w:iCs/>
                <w:color w:val="000000"/>
                <w:sz w:val="24"/>
                <w:szCs w:val="24"/>
              </w:rPr>
              <w:tab/>
            </w:r>
            <w:r>
              <w:rPr>
                <w:rFonts w:ascii="宋体" w:hAnsi="宋体"/>
                <w:bCs/>
                <w:iCs/>
                <w:color w:val="000000"/>
                <w:sz w:val="24"/>
                <w:szCs w:val="24"/>
              </w:rPr>
              <w:t>国泰海通证券股份有限公司</w:t>
            </w:r>
          </w:p>
          <w:p w14:paraId="373F86B3">
            <w:pPr>
              <w:rPr>
                <w:rFonts w:hint="eastAsia" w:ascii="宋体" w:hAnsi="宋体"/>
                <w:bCs/>
                <w:iCs/>
                <w:color w:val="000000"/>
                <w:sz w:val="24"/>
                <w:szCs w:val="24"/>
              </w:rPr>
            </w:pPr>
            <w:r>
              <w:rPr>
                <w:rFonts w:ascii="宋体" w:hAnsi="宋体"/>
                <w:bCs/>
                <w:iCs/>
                <w:color w:val="000000"/>
                <w:sz w:val="24"/>
                <w:szCs w:val="24"/>
              </w:rPr>
              <w:t>戴隽</w:t>
            </w:r>
            <w:r>
              <w:rPr>
                <w:rFonts w:ascii="宋体" w:hAnsi="宋体"/>
                <w:bCs/>
                <w:iCs/>
                <w:color w:val="000000"/>
                <w:sz w:val="24"/>
                <w:szCs w:val="24"/>
              </w:rPr>
              <w:tab/>
            </w:r>
            <w:r>
              <w:rPr>
                <w:rFonts w:ascii="宋体" w:hAnsi="宋体"/>
                <w:bCs/>
                <w:iCs/>
                <w:color w:val="000000"/>
                <w:sz w:val="24"/>
                <w:szCs w:val="24"/>
              </w:rPr>
              <w:t>泰信基金管理有限公司</w:t>
            </w:r>
          </w:p>
          <w:p w14:paraId="5602C101">
            <w:pPr>
              <w:rPr>
                <w:rFonts w:hint="eastAsia" w:ascii="宋体" w:hAnsi="宋体"/>
                <w:bCs/>
                <w:iCs/>
                <w:color w:val="000000"/>
                <w:sz w:val="24"/>
                <w:szCs w:val="24"/>
              </w:rPr>
            </w:pPr>
            <w:r>
              <w:rPr>
                <w:rFonts w:ascii="宋体" w:hAnsi="宋体"/>
                <w:bCs/>
                <w:iCs/>
                <w:color w:val="000000"/>
                <w:sz w:val="24"/>
                <w:szCs w:val="24"/>
              </w:rPr>
              <w:t>曲红丽</w:t>
            </w:r>
            <w:r>
              <w:rPr>
                <w:rFonts w:ascii="宋体" w:hAnsi="宋体"/>
                <w:bCs/>
                <w:iCs/>
                <w:color w:val="000000"/>
                <w:sz w:val="24"/>
                <w:szCs w:val="24"/>
              </w:rPr>
              <w:tab/>
            </w:r>
            <w:r>
              <w:rPr>
                <w:rFonts w:ascii="宋体" w:hAnsi="宋体"/>
                <w:bCs/>
                <w:iCs/>
                <w:color w:val="000000"/>
                <w:sz w:val="24"/>
                <w:szCs w:val="24"/>
              </w:rPr>
              <w:t>上海深积资产管理有限公司</w:t>
            </w:r>
          </w:p>
          <w:p w14:paraId="5DDDE233">
            <w:pPr>
              <w:rPr>
                <w:rFonts w:hint="eastAsia" w:ascii="宋体" w:hAnsi="宋体"/>
                <w:bCs/>
                <w:iCs/>
                <w:color w:val="000000"/>
                <w:sz w:val="24"/>
                <w:szCs w:val="24"/>
              </w:rPr>
            </w:pPr>
            <w:r>
              <w:rPr>
                <w:rFonts w:ascii="宋体" w:hAnsi="宋体"/>
                <w:bCs/>
                <w:iCs/>
                <w:color w:val="000000"/>
                <w:sz w:val="24"/>
                <w:szCs w:val="24"/>
              </w:rPr>
              <w:t>李珍妮</w:t>
            </w:r>
            <w:r>
              <w:rPr>
                <w:rFonts w:ascii="宋体" w:hAnsi="宋体"/>
                <w:bCs/>
                <w:iCs/>
                <w:color w:val="000000"/>
                <w:sz w:val="24"/>
                <w:szCs w:val="24"/>
              </w:rPr>
              <w:tab/>
            </w:r>
            <w:r>
              <w:rPr>
                <w:rFonts w:ascii="宋体" w:hAnsi="宋体"/>
                <w:bCs/>
                <w:iCs/>
                <w:color w:val="000000"/>
                <w:sz w:val="24"/>
                <w:szCs w:val="24"/>
              </w:rPr>
              <w:t>天弘基金管理有限公司</w:t>
            </w:r>
          </w:p>
          <w:p w14:paraId="0AA5417B">
            <w:pPr>
              <w:rPr>
                <w:rFonts w:hint="eastAsia" w:ascii="宋体" w:hAnsi="宋体"/>
                <w:bCs/>
                <w:iCs/>
                <w:color w:val="000000"/>
                <w:sz w:val="24"/>
                <w:szCs w:val="24"/>
              </w:rPr>
            </w:pPr>
            <w:r>
              <w:rPr>
                <w:rFonts w:ascii="宋体" w:hAnsi="宋体"/>
                <w:bCs/>
                <w:iCs/>
                <w:color w:val="000000"/>
                <w:sz w:val="24"/>
                <w:szCs w:val="24"/>
              </w:rPr>
              <w:t>王娟</w:t>
            </w:r>
            <w:r>
              <w:rPr>
                <w:rFonts w:ascii="宋体" w:hAnsi="宋体"/>
                <w:bCs/>
                <w:iCs/>
                <w:color w:val="000000"/>
                <w:sz w:val="24"/>
                <w:szCs w:val="24"/>
              </w:rPr>
              <w:tab/>
            </w:r>
            <w:r>
              <w:rPr>
                <w:rFonts w:ascii="宋体" w:hAnsi="宋体"/>
                <w:bCs/>
                <w:iCs/>
                <w:color w:val="000000"/>
                <w:sz w:val="24"/>
                <w:szCs w:val="24"/>
              </w:rPr>
              <w:t>天治基金管理有限公司</w:t>
            </w:r>
          </w:p>
          <w:p w14:paraId="6727A396">
            <w:pPr>
              <w:rPr>
                <w:rFonts w:hint="eastAsia" w:ascii="宋体" w:hAnsi="宋体"/>
                <w:bCs/>
                <w:iCs/>
                <w:color w:val="000000"/>
                <w:sz w:val="24"/>
                <w:szCs w:val="24"/>
              </w:rPr>
            </w:pPr>
            <w:r>
              <w:rPr>
                <w:rFonts w:ascii="宋体" w:hAnsi="宋体"/>
                <w:bCs/>
                <w:iCs/>
                <w:color w:val="000000"/>
                <w:sz w:val="24"/>
                <w:szCs w:val="24"/>
              </w:rPr>
              <w:t>陈镇炎</w:t>
            </w:r>
            <w:r>
              <w:rPr>
                <w:rFonts w:ascii="宋体" w:hAnsi="宋体"/>
                <w:bCs/>
                <w:iCs/>
                <w:color w:val="000000"/>
                <w:sz w:val="24"/>
                <w:szCs w:val="24"/>
              </w:rPr>
              <w:tab/>
            </w:r>
            <w:r>
              <w:rPr>
                <w:rFonts w:ascii="宋体" w:hAnsi="宋体"/>
                <w:bCs/>
                <w:iCs/>
                <w:color w:val="000000"/>
                <w:sz w:val="24"/>
                <w:szCs w:val="24"/>
              </w:rPr>
              <w:t>广州市罗爵资产管理有限公司</w:t>
            </w:r>
          </w:p>
          <w:p w14:paraId="77079EAA">
            <w:pPr>
              <w:rPr>
                <w:rFonts w:hint="eastAsia" w:ascii="宋体" w:hAnsi="宋体"/>
                <w:bCs/>
                <w:iCs/>
                <w:color w:val="000000"/>
                <w:sz w:val="24"/>
                <w:szCs w:val="24"/>
              </w:rPr>
            </w:pPr>
            <w:r>
              <w:rPr>
                <w:rFonts w:ascii="宋体" w:hAnsi="宋体"/>
                <w:bCs/>
                <w:iCs/>
                <w:color w:val="000000"/>
                <w:sz w:val="24"/>
                <w:szCs w:val="24"/>
              </w:rPr>
              <w:t>吕政和</w:t>
            </w:r>
            <w:r>
              <w:rPr>
                <w:rFonts w:ascii="宋体" w:hAnsi="宋体"/>
                <w:bCs/>
                <w:iCs/>
                <w:color w:val="000000"/>
                <w:sz w:val="24"/>
                <w:szCs w:val="24"/>
              </w:rPr>
              <w:tab/>
            </w:r>
            <w:r>
              <w:rPr>
                <w:rFonts w:ascii="宋体" w:hAnsi="宋体"/>
                <w:bCs/>
                <w:iCs/>
                <w:color w:val="000000"/>
                <w:sz w:val="24"/>
                <w:szCs w:val="24"/>
              </w:rPr>
              <w:t>西安江岳基金管理有限公司</w:t>
            </w:r>
          </w:p>
        </w:tc>
      </w:tr>
      <w:tr w14:paraId="1B2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A7D0C23">
            <w:pPr>
              <w:spacing w:line="312" w:lineRule="auto"/>
              <w:rPr>
                <w:rFonts w:hint="eastAsia" w:ascii="宋体" w:hAnsi="宋体"/>
                <w:b/>
                <w:bCs/>
                <w:iCs/>
                <w:color w:val="000000"/>
                <w:sz w:val="24"/>
                <w:szCs w:val="24"/>
              </w:rPr>
            </w:pPr>
            <w:r>
              <w:rPr>
                <w:rFonts w:hint="eastAsia" w:ascii="宋体" w:hAnsi="宋体"/>
                <w:b/>
                <w:bCs/>
                <w:iCs/>
                <w:color w:val="000000"/>
                <w:sz w:val="24"/>
                <w:szCs w:val="24"/>
              </w:rPr>
              <w:t>时间</w:t>
            </w:r>
          </w:p>
        </w:tc>
        <w:tc>
          <w:tcPr>
            <w:tcW w:w="7380" w:type="dxa"/>
          </w:tcPr>
          <w:p w14:paraId="7A4744E5">
            <w:pPr>
              <w:spacing w:line="312" w:lineRule="auto"/>
              <w:rPr>
                <w:rFonts w:hint="eastAsia" w:ascii="宋体" w:hAnsi="宋体"/>
                <w:bCs/>
                <w:iCs/>
                <w:color w:val="000000"/>
                <w:sz w:val="24"/>
                <w:szCs w:val="24"/>
              </w:rPr>
            </w:pPr>
            <w:r>
              <w:rPr>
                <w:rFonts w:hint="eastAsia" w:ascii="宋体" w:hAnsi="宋体"/>
                <w:bCs/>
                <w:iCs/>
                <w:color w:val="000000"/>
                <w:sz w:val="24"/>
                <w:szCs w:val="24"/>
              </w:rPr>
              <w:t>2026年4月2日</w:t>
            </w:r>
          </w:p>
        </w:tc>
      </w:tr>
      <w:tr w14:paraId="424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DFED40D">
            <w:pPr>
              <w:spacing w:line="312" w:lineRule="auto"/>
              <w:rPr>
                <w:rFonts w:hint="eastAsia" w:ascii="宋体" w:hAnsi="宋体"/>
                <w:b/>
                <w:bCs/>
                <w:iCs/>
                <w:color w:val="000000"/>
                <w:sz w:val="24"/>
                <w:szCs w:val="24"/>
              </w:rPr>
            </w:pPr>
            <w:r>
              <w:rPr>
                <w:rFonts w:hint="eastAsia" w:ascii="宋体" w:hAnsi="宋体"/>
                <w:b/>
                <w:bCs/>
                <w:iCs/>
                <w:color w:val="000000"/>
                <w:sz w:val="24"/>
                <w:szCs w:val="24"/>
              </w:rPr>
              <w:t>地点</w:t>
            </w:r>
          </w:p>
        </w:tc>
        <w:tc>
          <w:tcPr>
            <w:tcW w:w="7380" w:type="dxa"/>
          </w:tcPr>
          <w:p w14:paraId="1419F129">
            <w:pPr>
              <w:rPr>
                <w:rFonts w:hint="eastAsia" w:ascii="宋体" w:hAnsi="宋体"/>
                <w:bCs/>
                <w:iCs/>
                <w:color w:val="000000"/>
                <w:sz w:val="24"/>
                <w:szCs w:val="24"/>
              </w:rPr>
            </w:pPr>
            <w:r>
              <w:rPr>
                <w:rFonts w:hint="eastAsia" w:ascii="宋体" w:hAnsi="宋体"/>
                <w:bCs/>
                <w:iCs/>
                <w:color w:val="000000"/>
                <w:sz w:val="24"/>
                <w:szCs w:val="24"/>
              </w:rPr>
              <w:t>电话会议</w:t>
            </w:r>
          </w:p>
        </w:tc>
      </w:tr>
      <w:tr w14:paraId="099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A298C5F">
            <w:pPr>
              <w:spacing w:line="312" w:lineRule="auto"/>
              <w:rPr>
                <w:rFonts w:hint="eastAsia" w:ascii="宋体" w:hAnsi="宋体"/>
                <w:b/>
                <w:bCs/>
                <w:iCs/>
                <w:color w:val="000000"/>
                <w:sz w:val="24"/>
                <w:szCs w:val="24"/>
              </w:rPr>
            </w:pPr>
            <w:r>
              <w:rPr>
                <w:rFonts w:hint="eastAsia" w:ascii="宋体" w:hAnsi="宋体"/>
                <w:b/>
                <w:bCs/>
                <w:iCs/>
                <w:color w:val="000000"/>
                <w:sz w:val="24"/>
                <w:szCs w:val="24"/>
              </w:rPr>
              <w:t>公司总部接待人员姓名</w:t>
            </w:r>
          </w:p>
        </w:tc>
        <w:tc>
          <w:tcPr>
            <w:tcW w:w="7380" w:type="dxa"/>
            <w:vAlign w:val="center"/>
          </w:tcPr>
          <w:p w14:paraId="080D5A41">
            <w:pPr>
              <w:rPr>
                <w:rFonts w:hint="eastAsia" w:ascii="宋体" w:hAnsi="宋体"/>
                <w:bCs/>
                <w:iCs/>
                <w:color w:val="000000"/>
                <w:sz w:val="24"/>
                <w:szCs w:val="24"/>
              </w:rPr>
            </w:pPr>
            <w:r>
              <w:rPr>
                <w:rFonts w:hint="eastAsia" w:ascii="宋体" w:hAnsi="宋体"/>
                <w:bCs/>
                <w:iCs/>
                <w:color w:val="000000"/>
                <w:sz w:val="24"/>
                <w:szCs w:val="24"/>
              </w:rPr>
              <w:t>董事长 李玉鹏</w:t>
            </w:r>
          </w:p>
          <w:p w14:paraId="4EB53359">
            <w:pPr>
              <w:rPr>
                <w:rFonts w:hint="eastAsia" w:ascii="宋体" w:hAnsi="宋体"/>
                <w:bCs/>
                <w:iCs/>
                <w:color w:val="000000"/>
                <w:sz w:val="24"/>
                <w:szCs w:val="24"/>
              </w:rPr>
            </w:pPr>
            <w:r>
              <w:rPr>
                <w:rFonts w:hint="eastAsia" w:ascii="宋体" w:hAnsi="宋体"/>
                <w:bCs/>
                <w:iCs/>
                <w:color w:val="000000"/>
                <w:sz w:val="24"/>
                <w:szCs w:val="24"/>
              </w:rPr>
              <w:t>总经理 施姚峰</w:t>
            </w:r>
          </w:p>
          <w:p w14:paraId="622D1AE9">
            <w:pPr>
              <w:rPr>
                <w:rFonts w:hint="eastAsia" w:ascii="宋体" w:hAnsi="宋体"/>
                <w:bCs/>
                <w:iCs/>
                <w:color w:val="000000"/>
                <w:sz w:val="24"/>
                <w:szCs w:val="24"/>
              </w:rPr>
            </w:pPr>
            <w:r>
              <w:rPr>
                <w:rFonts w:hint="eastAsia" w:ascii="宋体" w:hAnsi="宋体"/>
                <w:bCs/>
                <w:iCs/>
                <w:color w:val="000000"/>
                <w:sz w:val="24"/>
                <w:szCs w:val="24"/>
              </w:rPr>
              <w:t>财务总监 杨映武</w:t>
            </w:r>
          </w:p>
          <w:p w14:paraId="3BC5DEC9">
            <w:pPr>
              <w:rPr>
                <w:rFonts w:hint="eastAsia" w:ascii="宋体" w:hAnsi="宋体"/>
                <w:bCs/>
                <w:iCs/>
                <w:color w:val="000000"/>
                <w:sz w:val="24"/>
                <w:szCs w:val="24"/>
              </w:rPr>
            </w:pPr>
            <w:r>
              <w:rPr>
                <w:rFonts w:hint="eastAsia" w:ascii="宋体" w:hAnsi="宋体"/>
                <w:bCs/>
                <w:iCs/>
                <w:color w:val="000000"/>
                <w:sz w:val="24"/>
                <w:szCs w:val="24"/>
              </w:rPr>
              <w:t>董事会秘书 曹澍</w:t>
            </w:r>
          </w:p>
        </w:tc>
      </w:tr>
      <w:tr w14:paraId="4E4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08" w:type="dxa"/>
            <w:vAlign w:val="center"/>
          </w:tcPr>
          <w:p w14:paraId="46125A7D">
            <w:pPr>
              <w:spacing w:line="312" w:lineRule="auto"/>
              <w:rPr>
                <w:rFonts w:hint="eastAsia" w:ascii="宋体" w:hAnsi="宋体"/>
                <w:b/>
                <w:bCs/>
                <w:iCs/>
                <w:color w:val="000000"/>
                <w:sz w:val="24"/>
                <w:szCs w:val="24"/>
              </w:rPr>
            </w:pPr>
            <w:r>
              <w:rPr>
                <w:rFonts w:hint="eastAsia" w:ascii="宋体" w:hAnsi="宋体"/>
                <w:b/>
                <w:bCs/>
                <w:iCs/>
                <w:color w:val="000000"/>
                <w:sz w:val="24"/>
                <w:szCs w:val="24"/>
              </w:rPr>
              <w:t>投资者关系活动主要内容介绍</w:t>
            </w:r>
          </w:p>
        </w:tc>
        <w:tc>
          <w:tcPr>
            <w:tcW w:w="7380" w:type="dxa"/>
          </w:tcPr>
          <w:p w14:paraId="3F8120AD">
            <w:pPr>
              <w:spacing w:line="400" w:lineRule="exact"/>
              <w:rPr>
                <w:rFonts w:hint="eastAsia" w:asciiTheme="minorEastAsia" w:hAnsiTheme="minorEastAsia" w:eastAsiaTheme="minorEastAsia"/>
                <w:b/>
                <w:bCs/>
                <w:sz w:val="24"/>
                <w:szCs w:val="32"/>
                <w:lang w:val="en-US" w:eastAsia="zh-CN"/>
              </w:rPr>
            </w:pPr>
            <w:r>
              <w:rPr>
                <w:rFonts w:hint="eastAsia" w:asciiTheme="minorEastAsia" w:hAnsiTheme="minorEastAsia" w:eastAsiaTheme="minorEastAsia"/>
                <w:b/>
                <w:bCs/>
                <w:sz w:val="24"/>
                <w:szCs w:val="32"/>
              </w:rPr>
              <w:t>一、公司2025年经营的主要成果</w:t>
            </w:r>
          </w:p>
          <w:p w14:paraId="13845583">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w:t>
            </w:r>
            <w:r>
              <w:rPr>
                <w:rFonts w:hint="eastAsia" w:asciiTheme="minorEastAsia" w:hAnsiTheme="minorEastAsia"/>
                <w:sz w:val="24"/>
                <w:szCs w:val="32"/>
              </w:rPr>
              <w:t>一</w:t>
            </w:r>
            <w:r>
              <w:rPr>
                <w:rFonts w:hint="eastAsia" w:asciiTheme="minorEastAsia" w:hAnsiTheme="minorEastAsia" w:eastAsiaTheme="minorEastAsia"/>
                <w:sz w:val="24"/>
                <w:szCs w:val="32"/>
              </w:rPr>
              <w:t>）聚焦家居核心主业，提升市场竞争力</w:t>
            </w:r>
          </w:p>
          <w:p w14:paraId="147EA335">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报告期内，公司在品类发展、业务规划、出租率提升、资源整合、租金管理与租赁管理等方面稳步推进，并在品类拓展方面持续突破创新。</w:t>
            </w:r>
          </w:p>
          <w:p w14:paraId="02928026">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1.核心品类深度运营，样板工程成效显著</w:t>
            </w:r>
          </w:p>
          <w:p w14:paraId="7E841E0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高端电器（MEGA-E）战略全速推进：报告期内，电器馆经营面积达140.5万平方米，可租面积占比提升至10.1%。</w:t>
            </w:r>
          </w:p>
          <w:p w14:paraId="143F5F85">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新零售家具异军突起：公司抢占线上品牌线下落地的首选渠道红利，新零售家具品类面积同比增长51.5%，达18.4万平方米，成为增速最快的二级品类。</w:t>
            </w:r>
          </w:p>
          <w:p w14:paraId="790B2CA7">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M+高端家装设计中心前置获客：公司以设计为引擎驱动关联销售。截至报告期末，设计中心总面积达70.8万平方米。通过小程序矩阵数字化赋能，汇聚逾6,300位专业设计师，全年开展500余场IP活动增强粘性，最终撬动带单销售额超过1.5亿元，有效实现了“设计引流+商场转化”的闭环。</w:t>
            </w:r>
          </w:p>
          <w:p w14:paraId="1E51EAD0">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2.“人车家”生态跨界融合，新兴业态多点开花</w:t>
            </w:r>
          </w:p>
          <w:p w14:paraId="2EE6FB8A">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汽车业态倍速增长：公司深化“品牌集群+场景联动”模式，汽车经营面积实现翻倍增长，从16万平方米增至32万平方米，覆盖全国46座城市。</w:t>
            </w:r>
          </w:p>
          <w:p w14:paraId="0B710C0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餐饮配套业态全面覆盖：公司致力于提升商场生活化功能，全国餐饮业态面积达9.2万平方米，自营商场餐饮覆盖率提升至96%。</w:t>
            </w:r>
          </w:p>
          <w:p w14:paraId="107EF13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创新品类前瞻布局：公司积极挖掘市场空白，成功打造上海“山丘-美凯龙银发生活美学馆”，抢占康养家居新赛道。同时，金属定制等细分垂直品类在全国范围实现稳步拓展。</w:t>
            </w:r>
          </w:p>
          <w:p w14:paraId="15827373">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w:t>
            </w:r>
            <w:r>
              <w:rPr>
                <w:rFonts w:hint="eastAsia" w:asciiTheme="minorEastAsia" w:hAnsiTheme="minorEastAsia"/>
                <w:sz w:val="24"/>
                <w:szCs w:val="32"/>
              </w:rPr>
              <w:t>二</w:t>
            </w:r>
            <w:r>
              <w:rPr>
                <w:rFonts w:hint="eastAsia" w:asciiTheme="minorEastAsia" w:hAnsiTheme="minorEastAsia" w:eastAsiaTheme="minorEastAsia"/>
                <w:sz w:val="24"/>
                <w:szCs w:val="32"/>
              </w:rPr>
              <w:t>）加强商户和用户运营管理、数智驱动与服务生态协同增效</w:t>
            </w:r>
          </w:p>
          <w:p w14:paraId="2970D005">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报告期内，公司营运管理体系紧密围绕“提升用户价值”与“赋能商户经营”双核驱动，通过数字化工具迭代、国家政策深度衔接及全链路服务体系构建，全面提升场域经营质效。</w:t>
            </w:r>
          </w:p>
          <w:p w14:paraId="1AD90030">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1.数字化会员运营实现跨越式增长</w:t>
            </w:r>
          </w:p>
          <w:p w14:paraId="6A8BA365">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截至报告期末，小程序覆盖商场达225家，平台PV(页面浏览量)达2,366万，同比大幅增长161%，UV(独立访客)增长94%至280万。数字化运营直接赋能业绩增长，注册会员消费人数占统一收银总人数的39.8%；会员贡献消费金额达100亿元，占统一收银总额的47.7%，占比同比提升84%。</w:t>
            </w:r>
          </w:p>
          <w:p w14:paraId="4DCA9FAC">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2.精准衔接国家“以旧换新”政策，释放消费动能</w:t>
            </w:r>
          </w:p>
          <w:p w14:paraId="6D4649A9">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公司率先响应国家政策，通过政企双补、全员直播及全国联动，打造了行业领先的“焕新”声量。2025年，全国商场累计实现国补销售订单102.9万单，累计销售金额达99.1亿元，其中政府补贴投入16.0亿元。以旧换新政策均衡拉动了全品类增长，其中电器类销售占比38.7%，建材类占比33.8%，家具类占比27.5%，有效提振了场内商户的经营信心。</w:t>
            </w:r>
          </w:p>
          <w:p w14:paraId="398CD047">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3.构建全生命周期服务生态，重塑品牌口碑</w:t>
            </w:r>
          </w:p>
          <w:p w14:paraId="0FB7C98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公司坚持“顾客第一”导向，通过完善服务链条提升差异化竞争力，拓展家电延保、维保、回收及3C维修等增值服务。服务中心模式落地，全国首家美凯龙服务中心于上海全球家居1号店正式揭牌运营，涵盖维修清洗、收银承诺、水饮休闲等功能专区，实现了由单纯购物空间向品质生活服务平台的转型。报告期内，公司实施全流程服务质量管控，整体订单好评率98.90%，综合服务满意度95.81%。</w:t>
            </w:r>
          </w:p>
          <w:p w14:paraId="15876E4A">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4.营运专业能力与风险管控体系持续强化</w:t>
            </w:r>
          </w:p>
          <w:p w14:paraId="541A26D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w:t>
            </w:r>
            <w:r>
              <w:rPr>
                <w:rFonts w:hint="eastAsia" w:asciiTheme="minorEastAsia" w:hAnsiTheme="minorEastAsia"/>
                <w:sz w:val="24"/>
                <w:szCs w:val="32"/>
              </w:rPr>
              <w:t>三</w:t>
            </w:r>
            <w:r>
              <w:rPr>
                <w:rFonts w:hint="eastAsia" w:asciiTheme="minorEastAsia" w:hAnsiTheme="minorEastAsia" w:eastAsiaTheme="minorEastAsia"/>
                <w:sz w:val="24"/>
                <w:szCs w:val="32"/>
              </w:rPr>
              <w:t>）强化品牌势能，深耕全域流量与数字化营销</w:t>
            </w:r>
          </w:p>
          <w:p w14:paraId="2E6FDB01">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1.重大事件与顶流资源赋能，品牌势能显著提升</w:t>
            </w:r>
            <w:r>
              <w:rPr>
                <w:rFonts w:hint="eastAsia" w:asciiTheme="minorEastAsia" w:hAnsiTheme="minorEastAsia"/>
                <w:sz w:val="24"/>
                <w:szCs w:val="32"/>
              </w:rPr>
              <w:t>，</w:t>
            </w:r>
            <w:r>
              <w:rPr>
                <w:rFonts w:hint="eastAsia" w:asciiTheme="minorEastAsia" w:hAnsiTheme="minorEastAsia" w:eastAsiaTheme="minorEastAsia"/>
                <w:sz w:val="24"/>
                <w:szCs w:val="32"/>
              </w:rPr>
              <w:t>借势顶级赛事，总冠名2025年钻石联赛红星美凯龙厦门站，通过国际级赛事联动实现媒体传播价值达14.17亿元。</w:t>
            </w:r>
          </w:p>
          <w:p w14:paraId="5A504794">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2.构建多平台流量矩阵，整合抖音本地生活、天猫同城站、高德地图、美团点评及小程序等多平台，全年获取线上流量达6.3亿。</w:t>
            </w:r>
          </w:p>
          <w:p w14:paraId="7C6C404B">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3.跨界资源整合与品类专项传播</w:t>
            </w:r>
            <w:r>
              <w:rPr>
                <w:rFonts w:hint="eastAsia" w:asciiTheme="minorEastAsia" w:hAnsiTheme="minorEastAsia"/>
                <w:sz w:val="24"/>
                <w:szCs w:val="32"/>
              </w:rPr>
              <w:t>，</w:t>
            </w:r>
            <w:r>
              <w:rPr>
                <w:rFonts w:hint="eastAsia" w:asciiTheme="minorEastAsia" w:hAnsiTheme="minorEastAsia" w:eastAsiaTheme="minorEastAsia"/>
                <w:sz w:val="24"/>
                <w:szCs w:val="32"/>
              </w:rPr>
              <w:t>深化与控股股东建发股份的资源整合，联动钻石联赛、厦门马拉松等赛事开展品宣。依托建发/联发楼盘资源，实现20城76盘深度合作，拓客1.4万+，转化金额约1.5亿元。</w:t>
            </w:r>
          </w:p>
          <w:p w14:paraId="4ADECAA1">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4.营销创新与费效管控</w:t>
            </w:r>
            <w:r>
              <w:rPr>
                <w:rFonts w:hint="eastAsia" w:asciiTheme="minorEastAsia" w:hAnsiTheme="minorEastAsia"/>
                <w:sz w:val="24"/>
                <w:szCs w:val="32"/>
              </w:rPr>
              <w:t>，</w:t>
            </w:r>
            <w:r>
              <w:rPr>
                <w:rFonts w:hint="eastAsia" w:asciiTheme="minorEastAsia" w:hAnsiTheme="minorEastAsia" w:eastAsiaTheme="minorEastAsia"/>
                <w:sz w:val="24"/>
                <w:szCs w:val="32"/>
              </w:rPr>
              <w:t>报告期内，费用管控提效显著，在提升品牌声量的同时，公司通过优化授权与过程管控，实现自营商场企划基础预算同比下降30.8%，在客流获客成本上涨的背景下，客总价同比提升37%，确保了整体费效的可控性。</w:t>
            </w:r>
          </w:p>
          <w:p w14:paraId="0F9E381E">
            <w:pPr>
              <w:spacing w:line="40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w:t>
            </w:r>
            <w:r>
              <w:rPr>
                <w:rFonts w:hint="eastAsia" w:asciiTheme="minorEastAsia" w:hAnsiTheme="minorEastAsia"/>
                <w:sz w:val="24"/>
                <w:szCs w:val="32"/>
              </w:rPr>
              <w:t>四</w:t>
            </w:r>
            <w:r>
              <w:rPr>
                <w:rFonts w:hint="eastAsia" w:asciiTheme="minorEastAsia" w:hAnsiTheme="minorEastAsia" w:eastAsiaTheme="minorEastAsia"/>
                <w:sz w:val="24"/>
                <w:szCs w:val="32"/>
              </w:rPr>
              <w:t>）提速数智化转型，构建智慧家居零售新生态</w:t>
            </w:r>
          </w:p>
          <w:p w14:paraId="67A831DA">
            <w:pPr>
              <w:spacing w:line="360" w:lineRule="auto"/>
              <w:ind w:firstLine="480" w:firstLineChars="200"/>
              <w:rPr>
                <w:sz w:val="24"/>
                <w:szCs w:val="32"/>
              </w:rPr>
            </w:pPr>
            <w:r>
              <w:rPr>
                <w:rFonts w:hint="eastAsia" w:asciiTheme="minorEastAsia" w:hAnsiTheme="minorEastAsia" w:eastAsiaTheme="minorEastAsia"/>
                <w:sz w:val="24"/>
                <w:szCs w:val="32"/>
              </w:rPr>
              <w:t>报告期内，公司以“业务赋能、流程提效、模型驱动、智能应用”为核心，全面开启新五年数智化战略规划。通过落地关键数字化应用、深化数据治理，为公司战略执行与稳健经营提供了高质量的科技支撑。</w:t>
            </w:r>
          </w:p>
          <w:p w14:paraId="6A5E04A9">
            <w:pPr>
              <w:spacing w:line="360" w:lineRule="auto"/>
              <w:rPr>
                <w:sz w:val="24"/>
                <w:szCs w:val="32"/>
              </w:rPr>
            </w:pPr>
          </w:p>
          <w:p w14:paraId="03A9E989">
            <w:pPr>
              <w:spacing w:line="360" w:lineRule="auto"/>
              <w:rPr>
                <w:rFonts w:hint="eastAsia" w:asciiTheme="minorEastAsia" w:hAnsiTheme="minorEastAsia" w:eastAsiaTheme="minorEastAsia"/>
                <w:b/>
                <w:bCs/>
                <w:sz w:val="24"/>
                <w:szCs w:val="32"/>
              </w:rPr>
            </w:pPr>
            <w:r>
              <w:rPr>
                <w:rFonts w:hint="eastAsia" w:asciiTheme="minorEastAsia" w:hAnsiTheme="minorEastAsia" w:eastAsiaTheme="minorEastAsia"/>
                <w:b/>
                <w:bCs/>
                <w:sz w:val="24"/>
                <w:szCs w:val="32"/>
              </w:rPr>
              <w:t>二、2025年财务业绩解读</w:t>
            </w:r>
          </w:p>
          <w:p w14:paraId="28298C47">
            <w:pPr>
              <w:spacing w:line="360" w:lineRule="auto"/>
              <w:ind w:firstLine="480" w:firstLineChars="200"/>
              <w:rPr>
                <w:sz w:val="24"/>
                <w:szCs w:val="32"/>
              </w:rPr>
            </w:pPr>
            <w:r>
              <w:rPr>
                <w:rFonts w:hint="eastAsia"/>
                <w:sz w:val="24"/>
                <w:szCs w:val="32"/>
              </w:rPr>
              <w:t>商场经营情况方面，截至2025年12月31日，公司经营74家自营商场，平均出租率为85.0%，同比去年提升2个百分点，是近两年的最高值，218家不同管理深度的委管商场，平均出租率为82.9%，近一年半的最高值，同比去年提升0.4百分点，通过战略合作经营7家家居商场，此外，公司以特许经营方式授权19家特许经营家居建材项目，共包括345家家居建材店/产业街。覆盖全国30个省、直辖市、自治区的181个城市，商场总经营面积1,913.48万平方米。</w:t>
            </w:r>
          </w:p>
          <w:p w14:paraId="2114CDD1">
            <w:pPr>
              <w:spacing w:line="360" w:lineRule="auto"/>
              <w:ind w:firstLine="480" w:firstLineChars="200"/>
              <w:rPr>
                <w:sz w:val="24"/>
                <w:szCs w:val="32"/>
              </w:rPr>
            </w:pPr>
            <w:r>
              <w:rPr>
                <w:sz w:val="24"/>
                <w:szCs w:val="32"/>
              </w:rPr>
              <w:t>20</w:t>
            </w:r>
            <w:r>
              <w:rPr>
                <w:rFonts w:hint="eastAsia"/>
                <w:sz w:val="24"/>
                <w:szCs w:val="32"/>
              </w:rPr>
              <w:t>25年全年实现营业收入65.82亿元，同比去年下降15.85%，主</w:t>
            </w:r>
            <w:r>
              <w:rPr>
                <w:rFonts w:hint="eastAsia"/>
                <w:sz w:val="24"/>
                <w:szCs w:val="32"/>
                <w:lang w:val="en-US" w:eastAsia="zh-CN"/>
              </w:rPr>
              <w:t>要</w:t>
            </w:r>
            <w:r>
              <w:rPr>
                <w:rFonts w:hint="eastAsia"/>
                <w:sz w:val="24"/>
                <w:szCs w:val="32"/>
              </w:rPr>
              <w:t>原因是公司收缩非主营业务以及关闭经营不好的商场，持续经营的商场营业收入下降没有太大</w:t>
            </w:r>
            <w:r>
              <w:rPr>
                <w:rFonts w:hint="eastAsia"/>
                <w:sz w:val="24"/>
                <w:szCs w:val="32"/>
                <w:lang w:eastAsia="zh-CN"/>
              </w:rPr>
              <w:t>，</w:t>
            </w:r>
            <w:r>
              <w:rPr>
                <w:rFonts w:hint="eastAsia"/>
                <w:sz w:val="24"/>
                <w:szCs w:val="32"/>
              </w:rPr>
              <w:t>自营商场的运营还是相对稳健的。</w:t>
            </w:r>
          </w:p>
          <w:p w14:paraId="453544EB">
            <w:pPr>
              <w:spacing w:line="360" w:lineRule="auto"/>
              <w:ind w:firstLine="480" w:firstLineChars="200"/>
              <w:rPr>
                <w:sz w:val="24"/>
                <w:szCs w:val="32"/>
              </w:rPr>
            </w:pPr>
            <w:r>
              <w:rPr>
                <w:rFonts w:hint="eastAsia"/>
                <w:sz w:val="24"/>
                <w:szCs w:val="32"/>
              </w:rPr>
              <w:t>利润情况，受公允价值变动损失增加、各类资产减值损失和信用减值损失等事项的影响，2</w:t>
            </w:r>
            <w:r>
              <w:rPr>
                <w:sz w:val="24"/>
                <w:szCs w:val="32"/>
              </w:rPr>
              <w:t>025</w:t>
            </w:r>
            <w:r>
              <w:rPr>
                <w:rFonts w:hint="eastAsia"/>
                <w:sz w:val="24"/>
                <w:szCs w:val="32"/>
              </w:rPr>
              <w:t>年归母净利润为-237.2亿元。</w:t>
            </w:r>
          </w:p>
          <w:p w14:paraId="08B413FB">
            <w:pPr>
              <w:spacing w:line="360" w:lineRule="auto"/>
              <w:ind w:firstLine="480" w:firstLineChars="200"/>
              <w:rPr>
                <w:sz w:val="24"/>
                <w:szCs w:val="32"/>
                <w:lang w:val="zh-TW"/>
              </w:rPr>
            </w:pPr>
            <w:r>
              <w:rPr>
                <w:rFonts w:hint="eastAsia"/>
                <w:sz w:val="24"/>
                <w:szCs w:val="32"/>
                <w:lang w:val="zh-TW"/>
              </w:rPr>
              <w:t>由于受到近两年外部行业波动的影响，公司各类资产的公允价值和变现情况也受到不同程度的影响，公司对截止2</w:t>
            </w:r>
            <w:r>
              <w:rPr>
                <w:rFonts w:hint="eastAsia"/>
                <w:sz w:val="24"/>
                <w:szCs w:val="32"/>
                <w:lang w:val="zh-TW" w:eastAsia="zh-TW"/>
              </w:rPr>
              <w:t>025</w:t>
            </w:r>
            <w:r>
              <w:rPr>
                <w:rFonts w:hint="eastAsia"/>
                <w:sz w:val="24"/>
                <w:szCs w:val="32"/>
                <w:lang w:val="zh-TW"/>
              </w:rPr>
              <w:t>年末各类资产的公允价值和可变现净值进行了评估，并对应计提了相应的公允价值变动损失和减值准备。其中，公允价值变动损失主要是由于公司行业和市场环境连续两年的显著变化，以及公司近两年业绩的大幅波动带来的预期变化导致的。受地产行业不景气以及家居建材行业需求下滑的持续影响，家居零售市场需求减弱，公司持续通过减免租金及管理收入的方式稳商留商，同时积极调整战略与品类布局，以优惠的商业条件吸引优质业态及品牌入驻，并在拓展初期给与租金及管理费优惠，使得租赁及管理收入受到较为明显的影响，租金水平较以往年度显著下降。由于市场对未来租金预期发生了转变，租金价格短期内得到修复的估计已需要进行调整，因此公司对未来租金预期的收益情况进行了相应调整，致使投资性房地产价值显著下降，2</w:t>
            </w:r>
            <w:r>
              <w:rPr>
                <w:rFonts w:hint="eastAsia"/>
                <w:sz w:val="24"/>
                <w:szCs w:val="32"/>
                <w:lang w:val="zh-TW" w:eastAsia="zh-TW"/>
              </w:rPr>
              <w:t>025</w:t>
            </w:r>
            <w:r>
              <w:rPr>
                <w:rFonts w:hint="eastAsia"/>
                <w:sz w:val="24"/>
                <w:szCs w:val="32"/>
                <w:lang w:val="zh-TW"/>
              </w:rPr>
              <w:t>年度公司公允价值变动合计损失234.4亿元。此外，由于市场环境的变化，公司历史上各类投资的资产包括土地平整收益权及项目开发支出、长期股权投资、财务资助、应收账款和合同资产、商誉及固定资产等，由于其底层资产与公司的投资性房地产价值、资产预计的未来现金流情况和资产当下市场的变现等情况紧密相关，投资性房地产的减值以及对外来收益情况的调整也会导致其他资产出现较大的减值情况，2</w:t>
            </w:r>
            <w:r>
              <w:rPr>
                <w:rFonts w:hint="eastAsia"/>
                <w:sz w:val="24"/>
                <w:szCs w:val="32"/>
                <w:lang w:val="zh-TW" w:eastAsia="zh-TW"/>
              </w:rPr>
              <w:t>025</w:t>
            </w:r>
            <w:r>
              <w:rPr>
                <w:rFonts w:hint="eastAsia"/>
                <w:sz w:val="24"/>
                <w:szCs w:val="32"/>
                <w:lang w:val="zh-TW"/>
              </w:rPr>
              <w:t>年度公司的减值合计损失39</w:t>
            </w:r>
            <w:r>
              <w:rPr>
                <w:rFonts w:hint="eastAsia"/>
                <w:sz w:val="24"/>
                <w:szCs w:val="32"/>
                <w:lang w:val="zh-TW" w:eastAsia="zh-TW"/>
              </w:rPr>
              <w:t>.</w:t>
            </w:r>
            <w:r>
              <w:rPr>
                <w:rFonts w:hint="eastAsia"/>
                <w:sz w:val="24"/>
                <w:szCs w:val="32"/>
                <w:lang w:val="zh-TW"/>
              </w:rPr>
              <w:t>0亿元。</w:t>
            </w:r>
          </w:p>
          <w:p w14:paraId="7876C4A0">
            <w:pPr>
              <w:spacing w:line="360" w:lineRule="auto"/>
              <w:ind w:firstLine="480" w:firstLineChars="200"/>
              <w:rPr>
                <w:sz w:val="24"/>
                <w:szCs w:val="32"/>
              </w:rPr>
            </w:pPr>
            <w:r>
              <w:rPr>
                <w:rFonts w:hint="eastAsia"/>
                <w:sz w:val="24"/>
                <w:szCs w:val="32"/>
                <w:lang w:val="zh-TW"/>
              </w:rPr>
              <w:t>以上相关事项的减值不会对公司未来的经营能力造成影响，不影响公司目前所持有的物业赚取现金流的能力，不会对公司目前偿债能力造成影响，不影响公司整体经营的止跌企稳，以及不改变公司出租率和经营活动净流入已大幅优化和改善的现状，</w:t>
            </w:r>
            <w:r>
              <w:rPr>
                <w:rFonts w:hint="eastAsia"/>
                <w:sz w:val="24"/>
                <w:szCs w:val="32"/>
              </w:rPr>
              <w:t>后续财报将更加真实地体现公司经营成果和质量。</w:t>
            </w:r>
          </w:p>
          <w:p w14:paraId="6FB2E59B">
            <w:pPr>
              <w:spacing w:line="360" w:lineRule="auto"/>
              <w:ind w:firstLine="480" w:firstLineChars="200"/>
              <w:rPr>
                <w:sz w:val="24"/>
                <w:szCs w:val="32"/>
              </w:rPr>
            </w:pPr>
            <w:r>
              <w:rPr>
                <w:rFonts w:hint="eastAsia"/>
                <w:sz w:val="24"/>
                <w:szCs w:val="32"/>
              </w:rPr>
              <w:t>2025年度剔除公允价值变动、减值和各类营业外收支等非常规项目，2</w:t>
            </w:r>
            <w:r>
              <w:rPr>
                <w:sz w:val="24"/>
                <w:szCs w:val="32"/>
              </w:rPr>
              <w:t>025</w:t>
            </w:r>
            <w:r>
              <w:rPr>
                <w:rFonts w:hint="eastAsia"/>
                <w:sz w:val="24"/>
                <w:szCs w:val="32"/>
              </w:rPr>
              <w:t>年经营产生的利润为1亿元，较去年有所改善，同比增加了4.6亿（去年亏损3.6亿）。</w:t>
            </w:r>
          </w:p>
          <w:p w14:paraId="7629D0A3">
            <w:pPr>
              <w:spacing w:line="360" w:lineRule="auto"/>
              <w:ind w:firstLine="480" w:firstLineChars="200"/>
            </w:pPr>
            <w:r>
              <w:rPr>
                <w:rFonts w:hint="eastAsia"/>
                <w:sz w:val="24"/>
                <w:szCs w:val="32"/>
              </w:rPr>
              <w:t>成本费用均大幅下降，销售费用同比下降18.59%，管理费用下降24.22%，超过营收的降幅。财务费用为21.6亿元，较2024年度减少了3.3亿元，主要由于本期</w:t>
            </w:r>
            <w:r>
              <w:rPr>
                <w:rFonts w:hint="eastAsia"/>
                <w:sz w:val="24"/>
                <w:szCs w:val="32"/>
                <w:lang w:val="en-US" w:eastAsia="zh-CN"/>
              </w:rPr>
              <w:t>公司融资成本下降，</w:t>
            </w:r>
            <w:r>
              <w:rPr>
                <w:rFonts w:hint="eastAsia"/>
                <w:sz w:val="24"/>
                <w:szCs w:val="32"/>
              </w:rPr>
              <w:t>利息大幅下降3.7亿元所致。</w:t>
            </w:r>
          </w:p>
          <w:p w14:paraId="05D6E8C0">
            <w:pPr>
              <w:spacing w:line="360" w:lineRule="auto"/>
              <w:ind w:firstLine="480" w:firstLineChars="200"/>
              <w:rPr>
                <w:sz w:val="24"/>
                <w:szCs w:val="32"/>
              </w:rPr>
            </w:pPr>
            <w:r>
              <w:rPr>
                <w:rFonts w:hint="eastAsia"/>
                <w:sz w:val="24"/>
                <w:szCs w:val="32"/>
              </w:rPr>
              <w:t>经营现金流方面，2025年经营性现金流8.16亿元，同比去年增加6亿元，主要是公司2</w:t>
            </w:r>
            <w:r>
              <w:rPr>
                <w:sz w:val="24"/>
                <w:szCs w:val="32"/>
              </w:rPr>
              <w:t>025</w:t>
            </w:r>
            <w:r>
              <w:rPr>
                <w:rFonts w:hint="eastAsia"/>
                <w:sz w:val="24"/>
                <w:szCs w:val="32"/>
              </w:rPr>
              <w:t>年提效控费导致经营性流出减少所致。</w:t>
            </w:r>
          </w:p>
          <w:p w14:paraId="77E15000">
            <w:pPr>
              <w:spacing w:line="360" w:lineRule="auto"/>
              <w:ind w:firstLine="480" w:firstLineChars="200"/>
              <w:rPr>
                <w:sz w:val="24"/>
                <w:szCs w:val="32"/>
              </w:rPr>
            </w:pPr>
            <w:r>
              <w:rPr>
                <w:rFonts w:hint="eastAsia"/>
                <w:sz w:val="24"/>
                <w:szCs w:val="32"/>
              </w:rPr>
              <w:t>2025年有息负债规模比较平稳，平均融资成本4.4%，年初下降0.8%，公司将继续积极探索新的融资渠道、债务置换优化期限，聚焦家居主业升级，积极探索第二曲线，提升经营业绩。</w:t>
            </w:r>
          </w:p>
          <w:p w14:paraId="0B9FDD44">
            <w:pPr>
              <w:spacing w:line="360" w:lineRule="auto"/>
              <w:ind w:firstLine="480" w:firstLineChars="200"/>
              <w:rPr>
                <w:sz w:val="24"/>
                <w:szCs w:val="32"/>
              </w:rPr>
            </w:pPr>
          </w:p>
          <w:p w14:paraId="356DD9D2">
            <w:pPr>
              <w:spacing w:line="360" w:lineRule="auto"/>
              <w:rPr>
                <w:sz w:val="24"/>
                <w:szCs w:val="32"/>
              </w:rPr>
            </w:pPr>
            <w:r>
              <w:rPr>
                <w:rFonts w:hint="eastAsia"/>
                <w:sz w:val="24"/>
                <w:szCs w:val="32"/>
              </w:rPr>
              <w:t>Q&amp;A</w:t>
            </w:r>
          </w:p>
          <w:p w14:paraId="6648981D">
            <w:pPr>
              <w:spacing w:line="360" w:lineRule="auto"/>
              <w:rPr>
                <w:sz w:val="24"/>
                <w:szCs w:val="32"/>
              </w:rPr>
            </w:pPr>
            <w:r>
              <w:rPr>
                <w:rFonts w:hint="eastAsia"/>
                <w:sz w:val="24"/>
                <w:szCs w:val="32"/>
              </w:rPr>
              <w:t>一、</w:t>
            </w:r>
            <w:r>
              <w:rPr>
                <w:rFonts w:hint="eastAsia"/>
                <w:sz w:val="24"/>
                <w:szCs w:val="32"/>
                <w:lang w:val="en-US" w:eastAsia="zh-CN"/>
              </w:rPr>
              <w:t>问施总：</w:t>
            </w:r>
            <w:r>
              <w:rPr>
                <w:sz w:val="24"/>
                <w:szCs w:val="32"/>
              </w:rPr>
              <w:t>减亏节奏预期？盈利改善具体方式及相应目标？</w:t>
            </w:r>
          </w:p>
          <w:p w14:paraId="702A9E09">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答：第一个问题减亏的节奏方面，2025年我们公司净亏损237亿元，主要是由于宏观环境的变化，还有期间经营数据疲软，以及中长期的行业转型的压力，三重的因素影响，公司投资性房地产供应价值在报告期内大幅的下降。此次调整将使公司财务报表更加的公允真实，反映行业深度调整期公司核心资产的当前价值，我们认为是一个价值回归，有利于维护财务报表的可靠性和投资者的产权长期利益。</w:t>
            </w:r>
            <w:r>
              <w:rPr>
                <w:rFonts w:hint="eastAsia" w:asciiTheme="minorEastAsia" w:hAnsiTheme="minorEastAsia" w:eastAsiaTheme="minorEastAsia"/>
                <w:sz w:val="24"/>
                <w:szCs w:val="32"/>
                <w:lang w:val="en-US"/>
              </w:rPr>
              <w:t>公司商场租赁及运营业务依然实现了较为稳健的盈利能力，2025年度实现的经营活动净现金流流入为</w:t>
            </w:r>
            <w:r>
              <w:rPr>
                <w:rFonts w:hint="eastAsia" w:asciiTheme="minorEastAsia" w:hAnsiTheme="minorEastAsia" w:eastAsiaTheme="minorEastAsia"/>
                <w:sz w:val="24"/>
                <w:szCs w:val="32"/>
              </w:rPr>
              <w:t>8.16亿</w:t>
            </w:r>
            <w:r>
              <w:rPr>
                <w:rFonts w:hint="eastAsia" w:asciiTheme="minorEastAsia" w:hAnsiTheme="minorEastAsia" w:eastAsiaTheme="minorEastAsia"/>
                <w:sz w:val="24"/>
                <w:szCs w:val="32"/>
                <w:lang w:val="en-US"/>
              </w:rPr>
              <w:t>元，相比较2024年的</w:t>
            </w:r>
            <w:r>
              <w:rPr>
                <w:rFonts w:hint="eastAsia" w:asciiTheme="minorEastAsia" w:hAnsiTheme="minorEastAsia" w:eastAsiaTheme="minorEastAsia"/>
                <w:sz w:val="24"/>
                <w:szCs w:val="32"/>
              </w:rPr>
              <w:t>2.16亿</w:t>
            </w:r>
            <w:r>
              <w:rPr>
                <w:rFonts w:hint="eastAsia" w:asciiTheme="minorEastAsia" w:hAnsiTheme="minorEastAsia" w:eastAsiaTheme="minorEastAsia"/>
                <w:sz w:val="24"/>
                <w:szCs w:val="32"/>
                <w:lang w:val="en-US"/>
              </w:rPr>
              <w:t>元实现了较快的复苏，</w:t>
            </w:r>
            <w:r>
              <w:rPr>
                <w:rFonts w:hint="eastAsia" w:asciiTheme="minorEastAsia" w:hAnsiTheme="minorEastAsia" w:eastAsiaTheme="minorEastAsia"/>
                <w:sz w:val="24"/>
                <w:szCs w:val="32"/>
              </w:rPr>
              <w:t>财务费用融资成本显著下降，运营管理效率显著提升，清理历史债务也取得显著进展，主业经营韧性凸显，自营出租率企稳回升。</w:t>
            </w:r>
          </w:p>
          <w:p w14:paraId="408DEB69">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第二个问题盈利改善方面，公司2026年的经营计划主要由以下几点：</w:t>
            </w:r>
          </w:p>
          <w:p w14:paraId="4CAEA420">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1.推进家居核心主业高质量发展</w:t>
            </w:r>
          </w:p>
          <w:p w14:paraId="770442AC">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公司将提升专业化经营能力，学习商业综合体“首店经济”模式，提升项目吸引力、客流量与商业价值；重点打造13家电器2.0MEGA-E智电绿洲样板商场，推进电器新场景体验和生态创新；通过“标杆引领”计划，系统化推动专业经营水平提升。</w:t>
            </w:r>
          </w:p>
          <w:p w14:paraId="31030C07">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2.盘活存量资产，释放资产价值</w:t>
            </w:r>
          </w:p>
          <w:p w14:paraId="61130EB2">
            <w:pPr>
              <w:spacing w:line="360" w:lineRule="auto"/>
              <w:ind w:firstLine="480" w:firstLineChars="200"/>
              <w:jc w:val="both"/>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公司将聚焦存量资产精细化运营，通过资产焕新、委托运营等盘活手段提升优质低效资产收益，以股权转让、资产置换等出清方式优化资产组合，借助REITs发行、股权合作等资本化路径打通退出闭环。 </w:t>
            </w:r>
          </w:p>
          <w:p w14:paraId="199EAA59">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3.夯实轻资产运营业务</w:t>
            </w:r>
          </w:p>
          <w:p w14:paraId="01714EC4">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公司将推动各省轻资产运营公司投拓业务的开展，推进新委管模式的标准化建设，加速轻资产项目优质高效落地，聚焦商业内容再造核心方向深化推进，包括但不限于套餐化、场景化、家居生活百货化在内的三大战略，持续释放轻资产运营价值，扩大经营规模、提升经营质量。</w:t>
            </w:r>
          </w:p>
          <w:p w14:paraId="29531EF4">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4.推进商业内容、商业模式创新</w:t>
            </w:r>
          </w:p>
          <w:p w14:paraId="65B9C7CD">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公司将积极开拓新品牌、新品类、新商户，深耕导购资源，对标同行综合体等前沿先进商业模式，向市场挖潜力，促进业务工作创新。公司将探索商业模式转型机会，把握行业发展规律和市场发展趋势，适时调整商业模式，提升竞争力，从租赁业务向商业运营转型。</w:t>
            </w:r>
          </w:p>
          <w:p w14:paraId="5CD544EA">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5.孵化第二曲线</w:t>
            </w:r>
          </w:p>
          <w:p w14:paraId="70DBB9E9">
            <w:pPr>
              <w:spacing w:line="360" w:lineRule="auto"/>
              <w:ind w:left="0" w:leftChars="0" w:firstLine="480" w:firstLineChars="200"/>
              <w:rPr>
                <w:rFonts w:asciiTheme="minorEastAsia" w:hAnsiTheme="minorEastAsia" w:eastAsiaTheme="minorEastAsia"/>
                <w:sz w:val="24"/>
                <w:szCs w:val="32"/>
              </w:rPr>
            </w:pPr>
            <w:bookmarkStart w:id="0" w:name="OLE_LINK36"/>
            <w:r>
              <w:rPr>
                <w:rFonts w:hint="eastAsia" w:asciiTheme="minorEastAsia" w:hAnsiTheme="minorEastAsia" w:eastAsiaTheme="minorEastAsia"/>
                <w:sz w:val="24"/>
                <w:szCs w:val="32"/>
              </w:rPr>
              <w:t>公司将积极拓展产业生态、供应链服务、装饰业务与海外业务</w:t>
            </w:r>
            <w:bookmarkEnd w:id="0"/>
            <w:r>
              <w:rPr>
                <w:rFonts w:hint="eastAsia" w:asciiTheme="minorEastAsia" w:hAnsiTheme="minorEastAsia" w:eastAsiaTheme="minorEastAsia"/>
                <w:sz w:val="24"/>
                <w:szCs w:val="32"/>
              </w:rPr>
              <w:t>。6.强化金融和科技赋能</w:t>
            </w:r>
          </w:p>
          <w:p w14:paraId="50CE152B">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公司将以多元化、低成本和结构优化为核心，持续提升资金配置效率与融资能力。积极推进REITs发行上市，拓展权益融资渠道；深化与各类金融机构的合作，积极开拓融资渠道，优化融资结构，降低综合融资成本。</w:t>
            </w:r>
          </w:p>
          <w:p w14:paraId="3FE977B2">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公司将推进科技赋能，增加业务一线急需的项目投入，深化商场全周期管理系统建设；落地资财税一体化平台，提升业财一体化水平；构建“用户通”全渠道流量运营体系；开发全国停车场统一智慧停车管理平台；建设协同办公统一平台；重构人力数字化平台；深挖高价值AI应用业务场景，实现业务赋能和用户体验双提升。</w:t>
            </w:r>
          </w:p>
          <w:p w14:paraId="565E6894">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7.优化组织架构，保障战略执行</w:t>
            </w:r>
          </w:p>
          <w:p w14:paraId="25DDCFE5">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公司将精简去化部分低效、无效业务，加快新业务布局；推动存量业务在整合、转型与升级中动态调整；提升组织决策效率，确保各项战略规划与经营策略得到有效执行。</w:t>
            </w:r>
          </w:p>
          <w:p w14:paraId="67503450">
            <w:pPr>
              <w:spacing w:line="360" w:lineRule="auto"/>
              <w:rPr>
                <w:rFonts w:hint="eastAsia" w:asciiTheme="minorEastAsia" w:hAnsiTheme="minorEastAsia" w:eastAsiaTheme="minorEastAsia"/>
                <w:sz w:val="24"/>
                <w:szCs w:val="32"/>
              </w:rPr>
            </w:pPr>
          </w:p>
          <w:p w14:paraId="7955C529">
            <w:pPr>
              <w:spacing w:line="360" w:lineRule="auto"/>
              <w:rPr>
                <w:sz w:val="24"/>
                <w:szCs w:val="32"/>
              </w:rPr>
            </w:pPr>
            <w:r>
              <w:rPr>
                <w:rFonts w:hint="eastAsia"/>
                <w:sz w:val="24"/>
                <w:szCs w:val="32"/>
              </w:rPr>
              <w:t>二、</w:t>
            </w:r>
            <w:r>
              <w:rPr>
                <w:rFonts w:hint="eastAsia"/>
                <w:sz w:val="24"/>
                <w:szCs w:val="32"/>
                <w:lang w:val="en-US" w:eastAsia="zh-CN"/>
              </w:rPr>
              <w:t>问施总：</w:t>
            </w:r>
            <w:r>
              <w:rPr>
                <w:sz w:val="24"/>
                <w:szCs w:val="32"/>
              </w:rPr>
              <w:t>如何提升公司的市值管理？</w:t>
            </w:r>
          </w:p>
          <w:p w14:paraId="00895718">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答：市值管理方面，2025年我们的估值提升计划围绕经营提升、现金分红、投资者关系管理、信息披露等方面展开，以下是2025年估值提升计划公告中相关工作的进展。</w:t>
            </w:r>
          </w:p>
          <w:p w14:paraId="56A8ED9A">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经营提升方面：我们的电器馆经营面积达140.5万平方米，可租面积占比提升至10.1%；公司抢占线上品牌线下落地的首选渠道红利，新零售家具品类面积同比增长51.5%，达18.4万平方米，成为增速最快的二级品类；M+高端家装设计中心总面积达70.8万平方米。通过小程序矩阵数字化赋能，汇聚逾6,300位专业设计师，全年开展500余场IP活动增强粘性，最终撬动带单销售额超过1.5亿元，有效实现了“设计引流+商场转化”的闭环；汽车经营面积实现翻倍增长，从16万平方米增至32万平方米，覆盖全国46座城市；公司致力于提升商场生活化功能，全国餐饮业态面积达9.2万平方米，自营商场餐饮覆盖率提升至96%；创新品类前瞻布局，成功打造上海“山丘-美凯龙银发生活美学馆”，抢占康养家居新赛道；同时，金属定制等细分垂直品类在全国范围实现稳步拓展。</w:t>
            </w:r>
          </w:p>
          <w:p w14:paraId="7CBB883D">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我们的数字化会员运营实现跨越式增长，公司完成官方小程序功能的全面重构，集在线客服、智能客服及设计师端等功能于一体，显著增强了用户触达与转化能力。截至报告期末，小程序覆盖商场达225家，平台PV(页面浏览量)达2,366万，同比大幅增长161%，UV(独立访客)增长94%至280万。数字化运营直接赋能业绩增长，注册会员消费人数占统一收银总人数的39.8%；会员贡献消费金额达100亿元，占统一收银总额的47.7%，占比同比提升84%。</w:t>
            </w:r>
          </w:p>
          <w:p w14:paraId="669F57F5">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公司实现了从单渠道向多平台矩阵的战略转型，线上流量获取能力持续增强。构建多平台流量矩阵，整合抖音本地生活、天猫同城站、高德地图、美团点评及小程序等多平台，全年获取线上流量达6.3亿。其中，新晋平台美团与高德贡献增量客资超7万。直播营销方面，线上营销发起“超级星主播”等IP活动，获取客资同比增幅达96%。抖音本地生活业务表现亮眼，商品及权益券到店核销率超40%，同比增长95%。私域沉淀与赋能方面，强化企业微信与设计师小程序运营，企业微信覆盖超200家商场，新增好友100万+，关联销售额达57.6亿元。</w:t>
            </w:r>
          </w:p>
          <w:p w14:paraId="20263C36">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公司积极拓展融资渠道，财务成本持续降低，比如去年重庆江北和天津滨海的CMBS，之前是美元债的方案，票面是5.2%，在2025年发了新的CMBS，成本是3.8%，降低资金成本1.4%，2025年综合融资成本率为4.4%，2025年是5.1%，显著下降。</w:t>
            </w:r>
          </w:p>
          <w:p w14:paraId="72BD63F3">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另外，去年估值提升计划中提到，公司目前持有及在建物业中，存在部分与公司家居商场物业处于同一/毗邻地块的塔楼、办公物业等物业，公司计划以前述存量商业项目的项目公司名义申请取得房地产开发资质并对该等物业于完成建设前通过预售方式进行销售，以盘活公司存量资产。公司目前已在南昌申请取得房地产开发资质，今年会持续推进重资产盘活的战略。</w:t>
            </w:r>
          </w:p>
          <w:p w14:paraId="588AECC9">
            <w:pPr>
              <w:spacing w:line="360" w:lineRule="auto"/>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信息披露和投资者关系管理方面，2025年我们披露283份A股/港股文件，公告总量位列上市公司前十，获得中国证券报颁发的“金信披奖”，累计参与及组织策略会、机构路演、卖场调研等各类投关活动69次，加强与不同类型投资者及金融机构的交流互动，深化其对公司经营方针及发展战略的了解，展示公司的优势和投资价值。</w:t>
            </w:r>
          </w:p>
          <w:p w14:paraId="77932C4E">
            <w:pPr>
              <w:spacing w:line="360" w:lineRule="auto"/>
              <w:ind w:firstLine="480" w:firstLineChars="200"/>
              <w:rPr>
                <w:rFonts w:hint="eastAsia" w:asciiTheme="minorEastAsia" w:hAnsiTheme="minorEastAsia" w:eastAsiaTheme="minorEastAsia"/>
                <w:bCs w:val="0"/>
                <w:iCs w:val="0"/>
                <w:color w:val="auto"/>
                <w:sz w:val="24"/>
                <w:szCs w:val="32"/>
                <w:lang w:val="en-US"/>
              </w:rPr>
            </w:pPr>
            <w:r>
              <w:rPr>
                <w:rFonts w:hint="eastAsia" w:asciiTheme="minorEastAsia" w:hAnsiTheme="minorEastAsia" w:eastAsiaTheme="minorEastAsia"/>
                <w:sz w:val="24"/>
                <w:szCs w:val="32"/>
              </w:rPr>
              <w:t>现金分红方面，由于2025年</w:t>
            </w:r>
            <w:r>
              <w:rPr>
                <w:rFonts w:hint="eastAsia" w:asciiTheme="minorEastAsia" w:hAnsiTheme="minorEastAsia" w:eastAsiaTheme="minorEastAsia"/>
                <w:bCs w:val="0"/>
                <w:iCs w:val="0"/>
                <w:color w:val="auto"/>
                <w:sz w:val="24"/>
                <w:szCs w:val="32"/>
                <w:lang w:val="en-US"/>
              </w:rPr>
              <w:t>未实现盈利，公司董事会考量公司可持续发展规划、盈利情况、经营规划和资金安排的基础上，根据有关法律法规及《公司章程》的规定，2025年度不进行现金股利分配，不进行资本公积金转增股本。若公司实现的年度可分配利润（即公司弥补亏损、提取公积金后所余的税后利润）为正值，且公司累计可供分配利润为正值的前提下，公司目标以现金方式分配的利润原则上不少于当年实现的可分配利润的20%，以稳定投资者分红预期，增强投资者获得感。</w:t>
            </w:r>
          </w:p>
          <w:p w14:paraId="7C486AF6">
            <w:pPr>
              <w:spacing w:line="360" w:lineRule="auto"/>
              <w:ind w:firstLine="480" w:firstLineChars="200"/>
              <w:rPr>
                <w:rFonts w:asciiTheme="minorEastAsia" w:hAnsiTheme="minorEastAsia" w:eastAsiaTheme="minorEastAsia"/>
                <w:sz w:val="24"/>
                <w:szCs w:val="32"/>
              </w:rPr>
            </w:pPr>
            <w:r>
              <w:rPr>
                <w:rFonts w:hint="eastAsia" w:asciiTheme="minorEastAsia" w:hAnsiTheme="minorEastAsia" w:eastAsiaTheme="minorEastAsia"/>
                <w:bCs w:val="0"/>
                <w:iCs w:val="0"/>
                <w:color w:val="auto"/>
                <w:sz w:val="24"/>
                <w:szCs w:val="32"/>
              </w:rPr>
              <w:t>公司今年也发布了新的估值提升计划公告，将继续围绕</w:t>
            </w:r>
            <w:r>
              <w:rPr>
                <w:rFonts w:hint="eastAsia" w:asciiTheme="minorEastAsia" w:hAnsiTheme="minorEastAsia" w:eastAsiaTheme="minorEastAsia"/>
                <w:bCs w:val="0"/>
                <w:iCs w:val="0"/>
                <w:color w:val="auto"/>
                <w:sz w:val="24"/>
                <w:szCs w:val="32"/>
                <w:lang w:val="en-US"/>
              </w:rPr>
              <w:t>经营提升、现金分红、投资者关系管理、信息披露等方面</w:t>
            </w:r>
            <w:r>
              <w:rPr>
                <w:rFonts w:hint="eastAsia" w:asciiTheme="minorEastAsia" w:hAnsiTheme="minorEastAsia" w:eastAsiaTheme="minorEastAsia"/>
                <w:bCs w:val="0"/>
                <w:iCs w:val="0"/>
                <w:color w:val="auto"/>
                <w:sz w:val="24"/>
                <w:szCs w:val="32"/>
              </w:rPr>
              <w:t>展开，</w:t>
            </w:r>
            <w:r>
              <w:rPr>
                <w:rFonts w:hint="eastAsia" w:asciiTheme="minorEastAsia" w:hAnsiTheme="minorEastAsia" w:eastAsiaTheme="minorEastAsia"/>
                <w:bCs w:val="0"/>
                <w:iCs w:val="0"/>
                <w:color w:val="auto"/>
                <w:sz w:val="24"/>
                <w:szCs w:val="32"/>
                <w:lang w:val="en-US"/>
              </w:rPr>
              <w:t>提升公司投资价值和股东回报能力，推动公司投资价值合理反映公司质量，增强投资者信心、维护全体股东利益，促进公司高质量发展。</w:t>
            </w:r>
          </w:p>
          <w:p w14:paraId="685731C7">
            <w:pPr>
              <w:spacing w:line="360" w:lineRule="auto"/>
              <w:rPr>
                <w:sz w:val="24"/>
                <w:szCs w:val="32"/>
              </w:rPr>
            </w:pPr>
          </w:p>
          <w:p w14:paraId="2B960681">
            <w:pPr>
              <w:spacing w:line="360" w:lineRule="auto"/>
              <w:rPr>
                <w:sz w:val="24"/>
                <w:szCs w:val="32"/>
              </w:rPr>
            </w:pPr>
            <w:r>
              <w:rPr>
                <w:rFonts w:hint="eastAsia"/>
                <w:sz w:val="24"/>
                <w:szCs w:val="32"/>
              </w:rPr>
              <w:t>三、</w:t>
            </w:r>
            <w:r>
              <w:rPr>
                <w:rFonts w:hint="eastAsia"/>
                <w:sz w:val="24"/>
                <w:szCs w:val="32"/>
                <w:lang w:val="en-US" w:eastAsia="zh-CN"/>
              </w:rPr>
              <w:t>问施总：</w:t>
            </w:r>
            <w:r>
              <w:rPr>
                <w:sz w:val="24"/>
                <w:szCs w:val="32"/>
              </w:rPr>
              <w:t>今年以旧换新政策收紧会不会对商场</w:t>
            </w:r>
            <w:r>
              <w:rPr>
                <w:rFonts w:hint="eastAsia" w:ascii="宋体" w:hAnsi="宋体"/>
                <w:bCs/>
                <w:iCs/>
                <w:color w:val="000000"/>
                <w:sz w:val="24"/>
                <w:szCs w:val="24"/>
              </w:rPr>
              <w:t>GMV</w:t>
            </w:r>
            <w:r>
              <w:rPr>
                <w:sz w:val="24"/>
                <w:szCs w:val="32"/>
              </w:rPr>
              <w:t>有较大影响？</w:t>
            </w:r>
          </w:p>
          <w:p w14:paraId="271D3817">
            <w:pPr>
              <w:spacing w:line="360" w:lineRule="auto"/>
              <w:ind w:firstLine="480"/>
              <w:rPr>
                <w:rFonts w:hint="eastAsia" w:ascii="宋体" w:hAnsi="宋体"/>
                <w:bCs/>
                <w:iCs/>
                <w:color w:val="000000"/>
                <w:sz w:val="24"/>
                <w:szCs w:val="24"/>
                <w:lang w:val="zh-TW"/>
              </w:rPr>
            </w:pPr>
            <w:r>
              <w:rPr>
                <w:rFonts w:hint="eastAsia" w:ascii="宋体" w:hAnsi="宋体"/>
                <w:bCs/>
                <w:iCs/>
                <w:color w:val="000000"/>
                <w:sz w:val="24"/>
                <w:szCs w:val="24"/>
              </w:rPr>
              <w:t>答：</w:t>
            </w:r>
            <w:r>
              <w:rPr>
                <w:rFonts w:hint="eastAsia" w:ascii="宋体" w:hAnsi="宋体"/>
                <w:bCs/>
                <w:iCs/>
                <w:color w:val="000000"/>
                <w:sz w:val="24"/>
                <w:szCs w:val="24"/>
                <w:lang w:val="zh-TW"/>
              </w:rPr>
              <w:t>政策收紧我们</w:t>
            </w:r>
            <w:r>
              <w:rPr>
                <w:rFonts w:hint="eastAsia" w:ascii="宋体" w:hAnsi="宋体"/>
                <w:bCs/>
                <w:iCs/>
                <w:color w:val="000000"/>
                <w:sz w:val="24"/>
                <w:szCs w:val="24"/>
              </w:rPr>
              <w:t>商场的GMV会</w:t>
            </w:r>
            <w:r>
              <w:rPr>
                <w:rFonts w:hint="eastAsia" w:ascii="宋体" w:hAnsi="宋体"/>
                <w:bCs/>
                <w:iCs/>
                <w:color w:val="000000"/>
                <w:sz w:val="24"/>
                <w:szCs w:val="24"/>
                <w:lang w:val="zh-TW"/>
              </w:rPr>
              <w:t>受</w:t>
            </w:r>
            <w:r>
              <w:rPr>
                <w:rFonts w:hint="eastAsia" w:ascii="宋体" w:hAnsi="宋体"/>
                <w:bCs/>
                <w:iCs/>
                <w:color w:val="000000"/>
                <w:sz w:val="24"/>
                <w:szCs w:val="24"/>
              </w:rPr>
              <w:t>到一定的</w:t>
            </w:r>
            <w:r>
              <w:rPr>
                <w:rFonts w:hint="eastAsia" w:ascii="宋体" w:hAnsi="宋体"/>
                <w:bCs/>
                <w:iCs/>
                <w:color w:val="000000"/>
                <w:sz w:val="24"/>
                <w:szCs w:val="24"/>
                <w:lang w:val="zh-TW"/>
              </w:rPr>
              <w:t>影响是静态</w:t>
            </w:r>
            <w:r>
              <w:rPr>
                <w:rFonts w:hint="eastAsia" w:ascii="宋体" w:hAnsi="宋体"/>
                <w:bCs/>
                <w:iCs/>
                <w:color w:val="000000"/>
                <w:sz w:val="24"/>
                <w:szCs w:val="24"/>
              </w:rPr>
              <w:t>层面的</w:t>
            </w:r>
            <w:r>
              <w:rPr>
                <w:rFonts w:hint="eastAsia" w:ascii="宋体" w:hAnsi="宋体"/>
                <w:bCs/>
                <w:iCs/>
                <w:color w:val="000000"/>
                <w:sz w:val="24"/>
                <w:szCs w:val="24"/>
                <w:lang w:val="zh-TW"/>
              </w:rPr>
              <w:t>，从动态来讲，前面业务上也介绍</w:t>
            </w:r>
            <w:r>
              <w:rPr>
                <w:rFonts w:hint="eastAsia" w:ascii="宋体" w:hAnsi="宋体"/>
                <w:bCs/>
                <w:iCs/>
                <w:color w:val="000000"/>
                <w:sz w:val="24"/>
                <w:szCs w:val="24"/>
              </w:rPr>
              <w:t>过</w:t>
            </w:r>
            <w:r>
              <w:rPr>
                <w:rFonts w:hint="eastAsia" w:ascii="宋体" w:hAnsi="宋体"/>
                <w:bCs/>
                <w:iCs/>
                <w:color w:val="000000"/>
                <w:sz w:val="24"/>
                <w:szCs w:val="24"/>
                <w:lang w:val="zh-TW"/>
              </w:rPr>
              <w:t>，我们从原来高端电器</w:t>
            </w:r>
            <w:r>
              <w:rPr>
                <w:rFonts w:hint="eastAsia" w:ascii="宋体" w:hAnsi="宋体"/>
                <w:bCs/>
                <w:iCs/>
                <w:color w:val="000000"/>
                <w:sz w:val="24"/>
                <w:szCs w:val="24"/>
              </w:rPr>
              <w:t>到</w:t>
            </w:r>
            <w:r>
              <w:rPr>
                <w:rFonts w:hint="eastAsia" w:ascii="宋体" w:hAnsi="宋体"/>
                <w:bCs/>
                <w:iCs/>
                <w:color w:val="000000"/>
                <w:sz w:val="24"/>
                <w:szCs w:val="24"/>
                <w:lang w:val="zh-TW"/>
              </w:rPr>
              <w:t>现在</w:t>
            </w:r>
            <w:r>
              <w:rPr>
                <w:rFonts w:hint="eastAsia" w:ascii="宋体" w:hAnsi="宋体"/>
                <w:bCs/>
                <w:iCs/>
                <w:color w:val="000000"/>
                <w:sz w:val="24"/>
                <w:szCs w:val="24"/>
              </w:rPr>
              <w:t>MEGA-E</w:t>
            </w:r>
            <w:r>
              <w:rPr>
                <w:rFonts w:hint="eastAsia" w:ascii="宋体" w:hAnsi="宋体"/>
                <w:bCs/>
                <w:iCs/>
                <w:color w:val="000000"/>
                <w:sz w:val="24"/>
                <w:szCs w:val="24"/>
                <w:lang w:val="zh-TW"/>
              </w:rPr>
              <w:t>电器2.0的转化，其实也是一个流量增加的经营举措，我们在动态中去调整这些变化。另外，虽然消费者的购房预期</w:t>
            </w:r>
            <w:r>
              <w:rPr>
                <w:rFonts w:hint="eastAsia" w:ascii="宋体" w:hAnsi="宋体"/>
                <w:bCs/>
                <w:iCs/>
                <w:color w:val="000000"/>
                <w:sz w:val="24"/>
                <w:szCs w:val="24"/>
              </w:rPr>
              <w:t>有所</w:t>
            </w:r>
            <w:r>
              <w:rPr>
                <w:rFonts w:hint="eastAsia" w:ascii="宋体" w:hAnsi="宋体"/>
                <w:bCs/>
                <w:iCs/>
                <w:color w:val="000000"/>
                <w:sz w:val="24"/>
                <w:szCs w:val="24"/>
                <w:lang w:val="zh-TW"/>
              </w:rPr>
              <w:t>减弱，但</w:t>
            </w:r>
            <w:r>
              <w:rPr>
                <w:rFonts w:hint="eastAsia" w:ascii="宋体" w:hAnsi="宋体"/>
                <w:bCs/>
                <w:iCs/>
                <w:color w:val="000000"/>
                <w:sz w:val="24"/>
                <w:szCs w:val="24"/>
              </w:rPr>
              <w:t>他们</w:t>
            </w:r>
            <w:r>
              <w:rPr>
                <w:rFonts w:hint="eastAsia" w:ascii="宋体" w:hAnsi="宋体"/>
                <w:bCs/>
                <w:iCs/>
                <w:color w:val="000000"/>
                <w:sz w:val="24"/>
                <w:szCs w:val="24"/>
                <w:lang w:val="zh-TW"/>
              </w:rPr>
              <w:t>在一些大件消费、金融保险消费上，可能还会有一些新的增长，所以我们</w:t>
            </w:r>
            <w:r>
              <w:rPr>
                <w:rFonts w:hint="eastAsia" w:ascii="宋体" w:hAnsi="宋体"/>
                <w:bCs/>
                <w:iCs/>
                <w:color w:val="000000"/>
                <w:sz w:val="24"/>
                <w:szCs w:val="24"/>
              </w:rPr>
              <w:t>认为市场需求</w:t>
            </w:r>
            <w:r>
              <w:rPr>
                <w:rFonts w:hint="eastAsia" w:ascii="宋体" w:hAnsi="宋体"/>
                <w:bCs/>
                <w:iCs/>
                <w:color w:val="000000"/>
                <w:sz w:val="24"/>
                <w:szCs w:val="24"/>
                <w:lang w:val="zh-TW"/>
              </w:rPr>
              <w:t>有减有增，</w:t>
            </w:r>
            <w:r>
              <w:rPr>
                <w:rFonts w:hint="eastAsia" w:ascii="宋体" w:hAnsi="宋体"/>
                <w:bCs/>
                <w:iCs/>
                <w:color w:val="000000"/>
                <w:sz w:val="24"/>
                <w:szCs w:val="24"/>
              </w:rPr>
              <w:t>可以</w:t>
            </w:r>
            <w:r>
              <w:rPr>
                <w:rFonts w:hint="eastAsia" w:ascii="宋体" w:hAnsi="宋体"/>
                <w:bCs/>
                <w:iCs/>
                <w:color w:val="000000"/>
                <w:sz w:val="24"/>
                <w:szCs w:val="24"/>
                <w:lang w:val="zh-TW"/>
              </w:rPr>
              <w:t>动态去维持积极向上的趋势。结合公司刚才的业务介绍，我们</w:t>
            </w:r>
            <w:r>
              <w:rPr>
                <w:rFonts w:hint="eastAsia" w:ascii="宋体" w:hAnsi="宋体"/>
                <w:bCs/>
                <w:iCs/>
                <w:color w:val="000000"/>
                <w:sz w:val="24"/>
                <w:szCs w:val="24"/>
              </w:rPr>
              <w:t>在商场增设</w:t>
            </w:r>
            <w:r>
              <w:rPr>
                <w:rFonts w:hint="eastAsia" w:ascii="宋体" w:hAnsi="宋体"/>
                <w:bCs/>
                <w:iCs/>
                <w:color w:val="000000"/>
                <w:sz w:val="24"/>
                <w:szCs w:val="24"/>
                <w:lang w:val="zh-TW"/>
              </w:rPr>
              <w:t>服务中心，推动</w:t>
            </w:r>
            <w:r>
              <w:rPr>
                <w:rFonts w:hint="eastAsia" w:ascii="宋体" w:hAnsi="宋体"/>
                <w:bCs/>
                <w:iCs/>
                <w:color w:val="000000"/>
                <w:sz w:val="24"/>
                <w:szCs w:val="24"/>
              </w:rPr>
              <w:t>公司业务从</w:t>
            </w:r>
            <w:r>
              <w:rPr>
                <w:rFonts w:hint="eastAsia" w:ascii="宋体" w:hAnsi="宋体"/>
                <w:bCs/>
                <w:iCs/>
                <w:color w:val="000000"/>
                <w:sz w:val="24"/>
                <w:szCs w:val="24"/>
                <w:lang w:val="zh-TW"/>
              </w:rPr>
              <w:t>商业租赁去转化，从服务价值上做一些新的GM</w:t>
            </w:r>
            <w:r>
              <w:rPr>
                <w:rFonts w:hint="eastAsia" w:ascii="宋体" w:hAnsi="宋体"/>
                <w:bCs/>
                <w:iCs/>
                <w:color w:val="000000"/>
                <w:sz w:val="24"/>
                <w:szCs w:val="24"/>
              </w:rPr>
              <w:t>V</w:t>
            </w:r>
            <w:r>
              <w:rPr>
                <w:rFonts w:hint="eastAsia" w:ascii="宋体" w:hAnsi="宋体"/>
                <w:bCs/>
                <w:iCs/>
                <w:color w:val="000000"/>
                <w:sz w:val="24"/>
                <w:szCs w:val="24"/>
                <w:lang w:val="zh-TW"/>
              </w:rPr>
              <w:t>的增值。对</w:t>
            </w:r>
            <w:r>
              <w:rPr>
                <w:rFonts w:hint="eastAsia" w:ascii="宋体" w:hAnsi="宋体"/>
                <w:bCs/>
                <w:iCs/>
                <w:color w:val="000000"/>
                <w:sz w:val="24"/>
                <w:szCs w:val="24"/>
              </w:rPr>
              <w:t>门店</w:t>
            </w:r>
            <w:r>
              <w:rPr>
                <w:rFonts w:hint="eastAsia" w:ascii="宋体" w:hAnsi="宋体"/>
                <w:bCs/>
                <w:iCs/>
                <w:color w:val="000000"/>
                <w:sz w:val="24"/>
                <w:szCs w:val="24"/>
                <w:lang w:val="zh-TW"/>
              </w:rPr>
              <w:t>来讲，这两年我们也在积极的做一些服务上的提升，回归到商业服务的本身。美凯龙现在</w:t>
            </w:r>
            <w:r>
              <w:rPr>
                <w:rFonts w:hint="eastAsia" w:ascii="宋体" w:hAnsi="宋体"/>
                <w:bCs/>
                <w:iCs/>
                <w:color w:val="000000"/>
                <w:sz w:val="24"/>
                <w:szCs w:val="24"/>
              </w:rPr>
              <w:t>各地服务到家平台</w:t>
            </w:r>
            <w:r>
              <w:rPr>
                <w:rFonts w:hint="eastAsia" w:ascii="宋体" w:hAnsi="宋体"/>
                <w:bCs/>
                <w:iCs/>
                <w:color w:val="000000"/>
                <w:sz w:val="24"/>
                <w:szCs w:val="24"/>
                <w:lang w:val="zh-TW"/>
              </w:rPr>
              <w:t>有楚小美、</w:t>
            </w:r>
            <w:r>
              <w:rPr>
                <w:rFonts w:hint="eastAsia" w:ascii="宋体" w:hAnsi="宋体"/>
                <w:bCs/>
                <w:iCs/>
                <w:color w:val="000000"/>
                <w:sz w:val="24"/>
                <w:szCs w:val="24"/>
              </w:rPr>
              <w:t>皖</w:t>
            </w:r>
            <w:r>
              <w:rPr>
                <w:rFonts w:hint="eastAsia" w:ascii="宋体" w:hAnsi="宋体"/>
                <w:bCs/>
                <w:iCs/>
                <w:color w:val="000000"/>
                <w:sz w:val="24"/>
                <w:szCs w:val="24"/>
                <w:lang w:val="zh-TW"/>
              </w:rPr>
              <w:t>小美、</w:t>
            </w:r>
            <w:r>
              <w:rPr>
                <w:rFonts w:hint="eastAsia" w:ascii="宋体" w:hAnsi="宋体"/>
                <w:bCs/>
                <w:iCs/>
                <w:color w:val="000000"/>
                <w:sz w:val="24"/>
                <w:szCs w:val="24"/>
              </w:rPr>
              <w:t>渝</w:t>
            </w:r>
            <w:r>
              <w:rPr>
                <w:rFonts w:hint="eastAsia" w:ascii="宋体" w:hAnsi="宋体"/>
                <w:bCs/>
                <w:iCs/>
                <w:color w:val="000000"/>
                <w:sz w:val="24"/>
                <w:szCs w:val="24"/>
                <w:lang w:val="zh-TW"/>
              </w:rPr>
              <w:t>小美、苏小龙</w:t>
            </w:r>
            <w:r>
              <w:rPr>
                <w:rFonts w:hint="eastAsia" w:ascii="宋体" w:hAnsi="宋体"/>
                <w:bCs/>
                <w:iCs/>
                <w:color w:val="000000"/>
                <w:sz w:val="24"/>
                <w:szCs w:val="24"/>
              </w:rPr>
              <w:t>等</w:t>
            </w:r>
            <w:r>
              <w:rPr>
                <w:rFonts w:hint="eastAsia" w:ascii="宋体" w:hAnsi="宋体"/>
                <w:bCs/>
                <w:iCs/>
                <w:color w:val="000000"/>
                <w:sz w:val="24"/>
                <w:szCs w:val="24"/>
                <w:lang w:val="zh-TW"/>
              </w:rPr>
              <w:t>，这些都是为消费者未来的他们的家居的一些清洗、维护、维修、延保上做一些新的服务增值，我觉得对未来gmv的增加也是有非常大的积极作用的。</w:t>
            </w:r>
          </w:p>
          <w:p w14:paraId="73057495">
            <w:pPr>
              <w:spacing w:line="360" w:lineRule="auto"/>
              <w:ind w:firstLine="480"/>
              <w:rPr>
                <w:rFonts w:hint="eastAsia" w:ascii="宋体" w:hAnsi="宋体"/>
                <w:bCs/>
                <w:iCs/>
                <w:color w:val="000000"/>
                <w:sz w:val="24"/>
                <w:szCs w:val="24"/>
                <w:lang w:val="zh-TW"/>
              </w:rPr>
            </w:pPr>
          </w:p>
          <w:p w14:paraId="285192A5">
            <w:pPr>
              <w:spacing w:line="360" w:lineRule="auto"/>
              <w:rPr>
                <w:rFonts w:hint="eastAsia" w:ascii="宋体" w:hAnsi="宋体"/>
                <w:bCs/>
                <w:iCs/>
                <w:color w:val="000000"/>
                <w:sz w:val="24"/>
                <w:szCs w:val="24"/>
                <w:lang w:val="zh-TW"/>
              </w:rPr>
            </w:pPr>
            <w:r>
              <w:rPr>
                <w:rFonts w:hint="eastAsia"/>
                <w:sz w:val="24"/>
                <w:szCs w:val="32"/>
              </w:rPr>
              <w:t>四、</w:t>
            </w:r>
            <w:r>
              <w:rPr>
                <w:rFonts w:hint="eastAsia"/>
                <w:sz w:val="24"/>
                <w:szCs w:val="32"/>
                <w:lang w:val="en-US" w:eastAsia="zh-CN"/>
              </w:rPr>
              <w:t>问李总：</w:t>
            </w:r>
            <w:r>
              <w:rPr>
                <w:sz w:val="24"/>
                <w:szCs w:val="32"/>
              </w:rPr>
              <w:t>建发对美凯龙的战略预期是什么</w:t>
            </w:r>
            <w:r>
              <w:rPr>
                <w:rFonts w:hint="eastAsia"/>
                <w:sz w:val="24"/>
                <w:szCs w:val="32"/>
              </w:rPr>
              <w:t>？</w:t>
            </w:r>
            <w:r>
              <w:rPr>
                <w:sz w:val="24"/>
                <w:szCs w:val="32"/>
              </w:rPr>
              <w:t>今年内部哪些新的战略变化和重要举措？</w:t>
            </w:r>
          </w:p>
          <w:p w14:paraId="5CE6B597">
            <w:pPr>
              <w:spacing w:line="360" w:lineRule="auto"/>
              <w:ind w:firstLine="480" w:firstLineChars="200"/>
              <w:rPr>
                <w:sz w:val="24"/>
                <w:szCs w:val="32"/>
              </w:rPr>
            </w:pPr>
            <w:r>
              <w:rPr>
                <w:rFonts w:hint="eastAsia"/>
                <w:sz w:val="24"/>
                <w:szCs w:val="32"/>
              </w:rPr>
              <w:t>答：</w:t>
            </w:r>
            <w:r>
              <w:rPr>
                <w:sz w:val="24"/>
                <w:szCs w:val="32"/>
              </w:rPr>
              <w:t>谢谢</w:t>
            </w:r>
            <w:r>
              <w:rPr>
                <w:rFonts w:hint="eastAsia"/>
                <w:sz w:val="24"/>
                <w:szCs w:val="32"/>
              </w:rPr>
              <w:t>您</w:t>
            </w:r>
            <w:r>
              <w:rPr>
                <w:sz w:val="24"/>
                <w:szCs w:val="32"/>
              </w:rPr>
              <w:t>的问题，实际上建发在2023年入驻红星美凯龙，当时的考虑还是对于家居零售行业的长期看好，我觉得应该一个更加长期主义的视角来看，看待这一次的并购，红星美凯龙品牌的消费者的心智的认可，以及未来建发地产与美凯龙的深度系统的展望，也都是</w:t>
            </w:r>
            <w:r>
              <w:rPr>
                <w:rFonts w:hint="eastAsia"/>
                <w:sz w:val="24"/>
                <w:szCs w:val="32"/>
              </w:rPr>
              <w:t>建发</w:t>
            </w:r>
            <w:r>
              <w:rPr>
                <w:sz w:val="24"/>
                <w:szCs w:val="32"/>
              </w:rPr>
              <w:t>比较看重的地方。</w:t>
            </w:r>
          </w:p>
          <w:p w14:paraId="3852A506">
            <w:pPr>
              <w:spacing w:line="360" w:lineRule="auto"/>
              <w:ind w:firstLine="480" w:firstLineChars="200"/>
              <w:rPr>
                <w:sz w:val="24"/>
                <w:szCs w:val="32"/>
              </w:rPr>
            </w:pPr>
            <w:r>
              <w:rPr>
                <w:sz w:val="24"/>
                <w:szCs w:val="32"/>
              </w:rPr>
              <w:t>今年是建发并购美凯龙的第三年，在与控股股东的协同上，我们已经初步建立了地产加家居加供应链的整合的新的模式和框架。去年美凯龙已经完成了新的5年战略规划的制定，我们也把业务战略明确定义为</w:t>
            </w:r>
            <w:r>
              <w:rPr>
                <w:rFonts w:hint="eastAsia"/>
                <w:sz w:val="24"/>
                <w:szCs w:val="32"/>
              </w:rPr>
              <w:t>“</w:t>
            </w:r>
            <w:r>
              <w:rPr>
                <w:sz w:val="24"/>
                <w:szCs w:val="32"/>
              </w:rPr>
              <w:t>家居生活的新商业运营商以及家居生态服务商</w:t>
            </w:r>
            <w:r>
              <w:rPr>
                <w:rFonts w:hint="eastAsia"/>
                <w:sz w:val="24"/>
                <w:szCs w:val="32"/>
              </w:rPr>
              <w:t>”。“家居生活新商业运营商”是指我们将聚焦家居行业为用户提供更美好的生活，通过提升商业内容、做好商业运营、闭环商业模式、提升空间价值。“家居产业生态服务商”是指我们将与家居商业同频共振，打造第二增长曲线平衡整体业务规模，承担服务型角色定位，将服务范围拓展至产业链上游如品牌工厂等，提升全产业链整体运作效率。公司也构建了清晰的战略路径，分阶段推进。</w:t>
            </w:r>
          </w:p>
          <w:p w14:paraId="558879B0">
            <w:pPr>
              <w:spacing w:line="360" w:lineRule="auto"/>
              <w:ind w:firstLine="480" w:firstLineChars="200"/>
              <w:rPr>
                <w:sz w:val="24"/>
                <w:szCs w:val="32"/>
              </w:rPr>
            </w:pPr>
            <w:r>
              <w:rPr>
                <w:rFonts w:hint="eastAsia"/>
                <w:sz w:val="24"/>
                <w:szCs w:val="32"/>
              </w:rPr>
              <w:t>第一是</w:t>
            </w:r>
            <w:r>
              <w:rPr>
                <w:sz w:val="24"/>
                <w:szCs w:val="32"/>
              </w:rPr>
              <w:t>我们</w:t>
            </w:r>
            <w:r>
              <w:rPr>
                <w:rFonts w:hint="eastAsia"/>
                <w:sz w:val="24"/>
                <w:szCs w:val="32"/>
              </w:rPr>
              <w:t>将</w:t>
            </w:r>
            <w:r>
              <w:rPr>
                <w:sz w:val="24"/>
                <w:szCs w:val="32"/>
              </w:rPr>
              <w:t>聚焦商业模式的构建，今年很明确的是要推进轻重资产分离，分拆两大专业化的主体，实现重资产经营与轻资产运营双赢驱动，破解我们的重资产的困局。第二是优化我们的商业内容供给，通过套餐化、场景化、家居生活百货化等方式，实现我们内容的破局，重塑我们家居卖场的吸引力，优化商户运营与转换效率，打通从内容到流量到变现的链路。第三是深耕存量市场，精准捕捉改善的需求，布局前置获客的网络，深挖存量痛点，迭代我们的产品和服务，巩固存量市场份额和商业模式的闭环。第四个是拓展我们的第二增长曲线，依托我们在家居行业的积淀的一些优势，发展我们的家居供应链业务，探索我们生态圈的要素业务，拓展我们的收入来源，增加我们业务的抗风险的韧性，实现我们全生态服务的这样的一个跨越。</w:t>
            </w:r>
          </w:p>
          <w:p w14:paraId="13308720">
            <w:pPr>
              <w:spacing w:line="360" w:lineRule="auto"/>
              <w:ind w:firstLine="480" w:firstLineChars="200"/>
              <w:rPr>
                <w:sz w:val="24"/>
                <w:szCs w:val="32"/>
              </w:rPr>
            </w:pPr>
          </w:p>
          <w:p w14:paraId="3497C05B">
            <w:pPr>
              <w:spacing w:line="360" w:lineRule="auto"/>
              <w:rPr>
                <w:sz w:val="24"/>
                <w:szCs w:val="32"/>
              </w:rPr>
            </w:pPr>
            <w:r>
              <w:rPr>
                <w:rFonts w:hint="eastAsia"/>
                <w:sz w:val="24"/>
                <w:szCs w:val="32"/>
              </w:rPr>
              <w:t>五、</w:t>
            </w:r>
            <w:r>
              <w:rPr>
                <w:rFonts w:hint="eastAsia"/>
                <w:sz w:val="24"/>
                <w:szCs w:val="32"/>
                <w:lang w:val="en-US" w:eastAsia="zh-CN"/>
              </w:rPr>
              <w:t>问杨总：</w:t>
            </w:r>
            <w:bookmarkStart w:id="1" w:name="_GoBack"/>
            <w:bookmarkEnd w:id="1"/>
            <w:r>
              <w:rPr>
                <w:rFonts w:hint="eastAsia"/>
                <w:sz w:val="24"/>
                <w:szCs w:val="32"/>
              </w:rPr>
              <w:t>公司去年平均有息负债约300亿元，财务利息仍高达21亿多元，贷款利率年化约7%。公司对降低财务费用有什么举措，预计今年的财务利息多少？</w:t>
            </w:r>
          </w:p>
          <w:p w14:paraId="07261509">
            <w:pPr>
              <w:spacing w:line="360" w:lineRule="auto"/>
              <w:ind w:firstLine="480" w:firstLineChars="200"/>
              <w:rPr>
                <w:rFonts w:hint="eastAsia" w:ascii="宋体" w:hAnsi="宋体"/>
                <w:bCs/>
                <w:iCs/>
                <w:color w:val="000000"/>
                <w:sz w:val="24"/>
                <w:szCs w:val="24"/>
              </w:rPr>
            </w:pPr>
            <w:r>
              <w:rPr>
                <w:rFonts w:hint="eastAsia"/>
                <w:sz w:val="24"/>
                <w:szCs w:val="32"/>
              </w:rPr>
              <w:t>答：</w:t>
            </w:r>
            <w:r>
              <w:rPr>
                <w:sz w:val="24"/>
                <w:szCs w:val="32"/>
              </w:rPr>
              <w:t>投资者关注到</w:t>
            </w:r>
            <w:r>
              <w:rPr>
                <w:rFonts w:hint="eastAsia"/>
                <w:sz w:val="24"/>
                <w:szCs w:val="32"/>
              </w:rPr>
              <w:t>年报里</w:t>
            </w:r>
            <w:r>
              <w:rPr>
                <w:sz w:val="24"/>
                <w:szCs w:val="32"/>
              </w:rPr>
              <w:t>我们对外披露的有息负债，300多亿</w:t>
            </w:r>
            <w:r>
              <w:rPr>
                <w:rFonts w:hint="eastAsia"/>
                <w:sz w:val="24"/>
                <w:szCs w:val="32"/>
              </w:rPr>
              <w:t>元</w:t>
            </w:r>
            <w:r>
              <w:rPr>
                <w:sz w:val="24"/>
                <w:szCs w:val="32"/>
              </w:rPr>
              <w:t>有息负债主要指的是我们对外，比如说银行</w:t>
            </w:r>
            <w:r>
              <w:rPr>
                <w:rFonts w:hint="eastAsia"/>
                <w:sz w:val="24"/>
                <w:szCs w:val="32"/>
              </w:rPr>
              <w:t>等</w:t>
            </w:r>
            <w:r>
              <w:rPr>
                <w:sz w:val="24"/>
                <w:szCs w:val="32"/>
              </w:rPr>
              <w:t>金融机构一些短期借款或者长期借款，包括我们发行的cmbs产品的有息负债</w:t>
            </w:r>
            <w:r>
              <w:rPr>
                <w:rFonts w:hint="eastAsia"/>
                <w:sz w:val="24"/>
                <w:szCs w:val="32"/>
              </w:rPr>
              <w:t>。</w:t>
            </w:r>
            <w:r>
              <w:rPr>
                <w:sz w:val="24"/>
                <w:szCs w:val="32"/>
              </w:rPr>
              <w:t>建发入股美凯龙之后给美凯龙引入优质的金融资源，帮助美凯龙去降低一些高息的负债</w:t>
            </w:r>
            <w:r>
              <w:rPr>
                <w:rFonts w:hint="eastAsia"/>
                <w:sz w:val="24"/>
                <w:szCs w:val="32"/>
              </w:rPr>
              <w:t>规模，</w:t>
            </w:r>
            <w:r>
              <w:rPr>
                <w:sz w:val="24"/>
                <w:szCs w:val="32"/>
              </w:rPr>
              <w:t>做</w:t>
            </w:r>
            <w:r>
              <w:rPr>
                <w:rFonts w:hint="eastAsia"/>
                <w:sz w:val="24"/>
                <w:szCs w:val="32"/>
              </w:rPr>
              <w:t>债务</w:t>
            </w:r>
            <w:r>
              <w:rPr>
                <w:sz w:val="24"/>
                <w:szCs w:val="32"/>
              </w:rPr>
              <w:t>置换</w:t>
            </w:r>
            <w:r>
              <w:rPr>
                <w:rFonts w:hint="eastAsia"/>
                <w:sz w:val="24"/>
                <w:szCs w:val="32"/>
              </w:rPr>
              <w:t>时</w:t>
            </w:r>
            <w:r>
              <w:rPr>
                <w:sz w:val="24"/>
                <w:szCs w:val="32"/>
              </w:rPr>
              <w:t>一般需要先</w:t>
            </w:r>
            <w:r>
              <w:rPr>
                <w:rFonts w:hint="eastAsia"/>
                <w:sz w:val="24"/>
                <w:szCs w:val="32"/>
              </w:rPr>
              <w:t>归还</w:t>
            </w:r>
            <w:r>
              <w:rPr>
                <w:sz w:val="24"/>
                <w:szCs w:val="32"/>
              </w:rPr>
              <w:t>原来的贷款，再去做新融资，过程中</w:t>
            </w:r>
            <w:r>
              <w:rPr>
                <w:rFonts w:hint="eastAsia"/>
                <w:sz w:val="24"/>
                <w:szCs w:val="32"/>
              </w:rPr>
              <w:t>对美凯龙会有</w:t>
            </w:r>
            <w:r>
              <w:rPr>
                <w:sz w:val="24"/>
                <w:szCs w:val="32"/>
              </w:rPr>
              <w:t>比较频繁的临时资金</w:t>
            </w:r>
            <w:r>
              <w:rPr>
                <w:rFonts w:hint="eastAsia"/>
                <w:sz w:val="24"/>
                <w:szCs w:val="32"/>
              </w:rPr>
              <w:t>支持，</w:t>
            </w:r>
            <w:r>
              <w:rPr>
                <w:sz w:val="24"/>
                <w:szCs w:val="32"/>
              </w:rPr>
              <w:t>在我们报表的关联方资金拆借</w:t>
            </w:r>
            <w:r>
              <w:rPr>
                <w:rFonts w:hint="eastAsia"/>
                <w:sz w:val="24"/>
                <w:szCs w:val="32"/>
              </w:rPr>
              <w:t>处</w:t>
            </w:r>
            <w:r>
              <w:rPr>
                <w:sz w:val="24"/>
                <w:szCs w:val="32"/>
              </w:rPr>
              <w:t>能够看到</w:t>
            </w:r>
            <w:r>
              <w:rPr>
                <w:rFonts w:hint="eastAsia"/>
                <w:sz w:val="24"/>
                <w:szCs w:val="32"/>
              </w:rPr>
              <w:t>。公司之前</w:t>
            </w:r>
            <w:r>
              <w:rPr>
                <w:sz w:val="24"/>
                <w:szCs w:val="32"/>
              </w:rPr>
              <w:t>公告</w:t>
            </w:r>
            <w:r>
              <w:rPr>
                <w:rFonts w:hint="eastAsia"/>
                <w:sz w:val="24"/>
                <w:szCs w:val="32"/>
              </w:rPr>
              <w:t>过</w:t>
            </w:r>
            <w:r>
              <w:rPr>
                <w:sz w:val="24"/>
                <w:szCs w:val="32"/>
              </w:rPr>
              <w:t>建发</w:t>
            </w:r>
            <w:r>
              <w:rPr>
                <w:rFonts w:hint="eastAsia"/>
                <w:sz w:val="24"/>
                <w:szCs w:val="32"/>
              </w:rPr>
              <w:t>对</w:t>
            </w:r>
            <w:r>
              <w:rPr>
                <w:sz w:val="24"/>
                <w:szCs w:val="32"/>
              </w:rPr>
              <w:t>美凯龙有</w:t>
            </w:r>
            <w:r>
              <w:rPr>
                <w:rFonts w:hint="eastAsia"/>
                <w:sz w:val="24"/>
                <w:szCs w:val="32"/>
              </w:rPr>
              <w:t>一个</w:t>
            </w:r>
            <w:r>
              <w:rPr>
                <w:sz w:val="24"/>
                <w:szCs w:val="32"/>
              </w:rPr>
              <w:t>95亿</w:t>
            </w:r>
            <w:r>
              <w:rPr>
                <w:rFonts w:hint="eastAsia"/>
                <w:sz w:val="24"/>
                <w:szCs w:val="32"/>
              </w:rPr>
              <w:t>元</w:t>
            </w:r>
            <w:r>
              <w:rPr>
                <w:sz w:val="24"/>
                <w:szCs w:val="32"/>
              </w:rPr>
              <w:t>的抵押借款的关联交易</w:t>
            </w:r>
            <w:r>
              <w:rPr>
                <w:rFonts w:hint="eastAsia"/>
                <w:sz w:val="24"/>
                <w:szCs w:val="32"/>
              </w:rPr>
              <w:t>，</w:t>
            </w:r>
            <w:r>
              <w:rPr>
                <w:sz w:val="24"/>
                <w:szCs w:val="32"/>
              </w:rPr>
              <w:t>如果加上这一部分的资金支持，我们的有息负债全年平均应该是有400多亿</w:t>
            </w:r>
            <w:r>
              <w:rPr>
                <w:rFonts w:hint="eastAsia"/>
                <w:sz w:val="24"/>
                <w:szCs w:val="32"/>
              </w:rPr>
              <w:t>元</w:t>
            </w:r>
            <w:r>
              <w:rPr>
                <w:sz w:val="24"/>
                <w:szCs w:val="32"/>
              </w:rPr>
              <w:t>的，也就是2</w:t>
            </w:r>
            <w:r>
              <w:rPr>
                <w:rFonts w:hint="eastAsia"/>
                <w:sz w:val="24"/>
                <w:szCs w:val="32"/>
              </w:rPr>
              <w:t>1亿元</w:t>
            </w:r>
            <w:r>
              <w:rPr>
                <w:sz w:val="24"/>
                <w:szCs w:val="32"/>
              </w:rPr>
              <w:t>左右的利息对应400多亿</w:t>
            </w:r>
            <w:r>
              <w:rPr>
                <w:rFonts w:hint="eastAsia"/>
                <w:sz w:val="24"/>
                <w:szCs w:val="32"/>
              </w:rPr>
              <w:t>元</w:t>
            </w:r>
            <w:r>
              <w:rPr>
                <w:sz w:val="24"/>
                <w:szCs w:val="32"/>
              </w:rPr>
              <w:t>的有息负债，我们</w:t>
            </w:r>
            <w:r>
              <w:rPr>
                <w:rFonts w:hint="eastAsia"/>
                <w:sz w:val="24"/>
                <w:szCs w:val="32"/>
              </w:rPr>
              <w:t>20</w:t>
            </w:r>
            <w:r>
              <w:rPr>
                <w:sz w:val="24"/>
                <w:szCs w:val="32"/>
              </w:rPr>
              <w:t>25年的综合平均融资成本</w:t>
            </w:r>
            <w:r>
              <w:rPr>
                <w:rFonts w:hint="eastAsia"/>
                <w:sz w:val="24"/>
                <w:szCs w:val="32"/>
              </w:rPr>
              <w:t>只有4.4%。2</w:t>
            </w:r>
            <w:r>
              <w:rPr>
                <w:sz w:val="24"/>
                <w:szCs w:val="32"/>
              </w:rPr>
              <w:t>026年我们也会在这个基础上继续对一些高息债务做置换，我们的成本有望在2025年底的基础上会进一步的降低</w:t>
            </w:r>
            <w:r>
              <w:rPr>
                <w:rFonts w:hint="eastAsia"/>
                <w:sz w:val="24"/>
                <w:szCs w:val="32"/>
              </w:rPr>
              <w:t>。</w:t>
            </w:r>
          </w:p>
        </w:tc>
      </w:tr>
      <w:tr w14:paraId="598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08" w:type="dxa"/>
            <w:vAlign w:val="center"/>
          </w:tcPr>
          <w:p w14:paraId="65F52CB7">
            <w:pPr>
              <w:spacing w:line="312" w:lineRule="auto"/>
              <w:rPr>
                <w:rFonts w:hint="eastAsia" w:ascii="宋体" w:hAnsi="宋体"/>
                <w:b/>
                <w:bCs/>
                <w:iCs/>
                <w:color w:val="000000"/>
                <w:sz w:val="24"/>
                <w:szCs w:val="24"/>
              </w:rPr>
            </w:pPr>
            <w:r>
              <w:rPr>
                <w:rFonts w:hint="eastAsia" w:ascii="宋体" w:hAnsi="宋体"/>
                <w:b/>
                <w:bCs/>
                <w:iCs/>
                <w:color w:val="000000"/>
                <w:sz w:val="24"/>
                <w:szCs w:val="24"/>
              </w:rPr>
              <w:t>附件清单（如有）</w:t>
            </w:r>
          </w:p>
        </w:tc>
        <w:tc>
          <w:tcPr>
            <w:tcW w:w="7380" w:type="dxa"/>
          </w:tcPr>
          <w:p w14:paraId="09C15907">
            <w:pPr>
              <w:spacing w:line="312" w:lineRule="auto"/>
              <w:rPr>
                <w:rFonts w:hint="eastAsia" w:ascii="宋体" w:hAnsi="宋体"/>
                <w:bCs/>
                <w:iCs/>
                <w:color w:val="000000"/>
                <w:sz w:val="24"/>
                <w:szCs w:val="24"/>
              </w:rPr>
            </w:pPr>
            <w:r>
              <w:rPr>
                <w:rFonts w:hint="eastAsia" w:ascii="宋体" w:hAnsi="宋体"/>
                <w:bCs/>
                <w:iCs/>
                <w:color w:val="000000"/>
                <w:sz w:val="24"/>
                <w:szCs w:val="24"/>
              </w:rPr>
              <w:t>无</w:t>
            </w:r>
          </w:p>
        </w:tc>
      </w:tr>
      <w:tr w14:paraId="546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70D7E21">
            <w:pPr>
              <w:spacing w:line="312" w:lineRule="auto"/>
              <w:rPr>
                <w:rFonts w:hint="eastAsia" w:ascii="宋体" w:hAnsi="宋体"/>
                <w:b/>
                <w:bCs/>
                <w:iCs/>
                <w:color w:val="000000"/>
                <w:sz w:val="24"/>
                <w:szCs w:val="24"/>
              </w:rPr>
            </w:pPr>
            <w:r>
              <w:rPr>
                <w:rFonts w:hint="eastAsia" w:ascii="宋体" w:hAnsi="宋体"/>
                <w:b/>
                <w:bCs/>
                <w:iCs/>
                <w:color w:val="000000"/>
                <w:sz w:val="24"/>
                <w:szCs w:val="24"/>
              </w:rPr>
              <w:t>日期</w:t>
            </w:r>
          </w:p>
        </w:tc>
        <w:tc>
          <w:tcPr>
            <w:tcW w:w="7380" w:type="dxa"/>
          </w:tcPr>
          <w:p w14:paraId="272ABD4D">
            <w:pPr>
              <w:spacing w:line="312" w:lineRule="auto"/>
              <w:rPr>
                <w:rFonts w:hint="eastAsia" w:ascii="宋体" w:hAnsi="宋体"/>
                <w:bCs/>
                <w:iCs/>
                <w:color w:val="000000"/>
                <w:sz w:val="24"/>
                <w:szCs w:val="24"/>
              </w:rPr>
            </w:pPr>
            <w:r>
              <w:rPr>
                <w:rFonts w:hint="eastAsia" w:ascii="宋体" w:hAnsi="宋体"/>
                <w:bCs/>
                <w:iCs/>
                <w:color w:val="000000"/>
                <w:sz w:val="24"/>
                <w:szCs w:val="24"/>
              </w:rPr>
              <w:t>2026年4月2日</w:t>
            </w:r>
          </w:p>
        </w:tc>
      </w:tr>
    </w:tbl>
    <w:p w14:paraId="68BFC3B8"/>
    <w:sectPr>
      <w:footerReference r:id="rId3"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AC16">
    <w:pPr>
      <w:pStyle w:val="11"/>
      <w:framePr w:wrap="around" w:vAnchor="text" w:hAnchor="margin" w:xAlign="center" w:y="1"/>
      <w:rPr>
        <w:rStyle w:val="19"/>
      </w:rPr>
    </w:pPr>
    <w:r>
      <w:fldChar w:fldCharType="begin"/>
    </w:r>
    <w:r>
      <w:rPr>
        <w:rStyle w:val="19"/>
      </w:rPr>
      <w:instrText xml:space="preserve">PAGE  </w:instrText>
    </w:r>
    <w:r>
      <w:fldChar w:fldCharType="end"/>
    </w:r>
  </w:p>
  <w:p w14:paraId="33F1BD1B">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07439"/>
    <w:rsid w:val="00010AAE"/>
    <w:rsid w:val="00012403"/>
    <w:rsid w:val="00013502"/>
    <w:rsid w:val="00014002"/>
    <w:rsid w:val="000148EC"/>
    <w:rsid w:val="00020110"/>
    <w:rsid w:val="00023AD8"/>
    <w:rsid w:val="000242D4"/>
    <w:rsid w:val="0002495D"/>
    <w:rsid w:val="00027543"/>
    <w:rsid w:val="00027E91"/>
    <w:rsid w:val="000325CB"/>
    <w:rsid w:val="00033F3E"/>
    <w:rsid w:val="0003412E"/>
    <w:rsid w:val="00040106"/>
    <w:rsid w:val="00040588"/>
    <w:rsid w:val="00043B1A"/>
    <w:rsid w:val="000441A5"/>
    <w:rsid w:val="00046C00"/>
    <w:rsid w:val="00053029"/>
    <w:rsid w:val="000607C6"/>
    <w:rsid w:val="00060AA6"/>
    <w:rsid w:val="0006194A"/>
    <w:rsid w:val="000630D7"/>
    <w:rsid w:val="0007492A"/>
    <w:rsid w:val="00074A14"/>
    <w:rsid w:val="00077D4A"/>
    <w:rsid w:val="00077E40"/>
    <w:rsid w:val="00082533"/>
    <w:rsid w:val="0008640A"/>
    <w:rsid w:val="000951EF"/>
    <w:rsid w:val="00095821"/>
    <w:rsid w:val="00095AE5"/>
    <w:rsid w:val="00097057"/>
    <w:rsid w:val="00097616"/>
    <w:rsid w:val="000A06A2"/>
    <w:rsid w:val="000A1164"/>
    <w:rsid w:val="000A2B49"/>
    <w:rsid w:val="000A65BE"/>
    <w:rsid w:val="000C1592"/>
    <w:rsid w:val="000C3A39"/>
    <w:rsid w:val="000C5505"/>
    <w:rsid w:val="000C5CAF"/>
    <w:rsid w:val="000C6844"/>
    <w:rsid w:val="000D2E50"/>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6E63"/>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4FA1"/>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50C1"/>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160CB"/>
    <w:rsid w:val="0022021E"/>
    <w:rsid w:val="00221D18"/>
    <w:rsid w:val="002227DA"/>
    <w:rsid w:val="0022321C"/>
    <w:rsid w:val="00225F06"/>
    <w:rsid w:val="002262D2"/>
    <w:rsid w:val="00226F37"/>
    <w:rsid w:val="00227C8D"/>
    <w:rsid w:val="00230E41"/>
    <w:rsid w:val="0023234B"/>
    <w:rsid w:val="0023265F"/>
    <w:rsid w:val="002329F3"/>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3D35"/>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6185"/>
    <w:rsid w:val="002D74B8"/>
    <w:rsid w:val="002D7692"/>
    <w:rsid w:val="002E0A2C"/>
    <w:rsid w:val="002E1916"/>
    <w:rsid w:val="002E3217"/>
    <w:rsid w:val="002E418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378B"/>
    <w:rsid w:val="0034635F"/>
    <w:rsid w:val="00353370"/>
    <w:rsid w:val="00357239"/>
    <w:rsid w:val="00357645"/>
    <w:rsid w:val="00363067"/>
    <w:rsid w:val="0036322F"/>
    <w:rsid w:val="003650E2"/>
    <w:rsid w:val="00365B56"/>
    <w:rsid w:val="00367530"/>
    <w:rsid w:val="00374679"/>
    <w:rsid w:val="0037479A"/>
    <w:rsid w:val="003831E5"/>
    <w:rsid w:val="00384C33"/>
    <w:rsid w:val="00385B9F"/>
    <w:rsid w:val="003902A6"/>
    <w:rsid w:val="00393259"/>
    <w:rsid w:val="003959F3"/>
    <w:rsid w:val="00395D49"/>
    <w:rsid w:val="003B18E5"/>
    <w:rsid w:val="003B248C"/>
    <w:rsid w:val="003C0D8E"/>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2EE1"/>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1394"/>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47F80"/>
    <w:rsid w:val="005503B5"/>
    <w:rsid w:val="005520F4"/>
    <w:rsid w:val="005572B2"/>
    <w:rsid w:val="0055768B"/>
    <w:rsid w:val="00562DA1"/>
    <w:rsid w:val="00562F21"/>
    <w:rsid w:val="00570DFE"/>
    <w:rsid w:val="00573E1F"/>
    <w:rsid w:val="005828AA"/>
    <w:rsid w:val="00586CA0"/>
    <w:rsid w:val="00590896"/>
    <w:rsid w:val="005912C5"/>
    <w:rsid w:val="00593140"/>
    <w:rsid w:val="00595591"/>
    <w:rsid w:val="00596838"/>
    <w:rsid w:val="005A0027"/>
    <w:rsid w:val="005A615A"/>
    <w:rsid w:val="005A6220"/>
    <w:rsid w:val="005B0815"/>
    <w:rsid w:val="005B5D91"/>
    <w:rsid w:val="005C1165"/>
    <w:rsid w:val="005C183B"/>
    <w:rsid w:val="005C7068"/>
    <w:rsid w:val="005C7BE3"/>
    <w:rsid w:val="005D1FAD"/>
    <w:rsid w:val="005D2A87"/>
    <w:rsid w:val="005D7F0F"/>
    <w:rsid w:val="005E16A1"/>
    <w:rsid w:val="005E22A1"/>
    <w:rsid w:val="005E5919"/>
    <w:rsid w:val="005E7168"/>
    <w:rsid w:val="005F4BAB"/>
    <w:rsid w:val="005F5CCE"/>
    <w:rsid w:val="005F78EC"/>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8BC"/>
    <w:rsid w:val="00670A3A"/>
    <w:rsid w:val="00671D7C"/>
    <w:rsid w:val="006770D1"/>
    <w:rsid w:val="006811B9"/>
    <w:rsid w:val="0068637D"/>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2730A"/>
    <w:rsid w:val="00734113"/>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0A64"/>
    <w:rsid w:val="007B4F53"/>
    <w:rsid w:val="007B60A9"/>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50EC"/>
    <w:rsid w:val="00896EEA"/>
    <w:rsid w:val="008A53D7"/>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07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534"/>
    <w:rsid w:val="009A46B0"/>
    <w:rsid w:val="009B115B"/>
    <w:rsid w:val="009B1498"/>
    <w:rsid w:val="009B1827"/>
    <w:rsid w:val="009B1F8D"/>
    <w:rsid w:val="009B3D4C"/>
    <w:rsid w:val="009B472F"/>
    <w:rsid w:val="009B54F8"/>
    <w:rsid w:val="009C2EE0"/>
    <w:rsid w:val="009C7105"/>
    <w:rsid w:val="009D0115"/>
    <w:rsid w:val="009D5548"/>
    <w:rsid w:val="009D5D9C"/>
    <w:rsid w:val="009D5E6C"/>
    <w:rsid w:val="009E0FBC"/>
    <w:rsid w:val="009E1A23"/>
    <w:rsid w:val="009E33D4"/>
    <w:rsid w:val="009E62D5"/>
    <w:rsid w:val="009E6F1C"/>
    <w:rsid w:val="009E71A3"/>
    <w:rsid w:val="009F59CB"/>
    <w:rsid w:val="00A00BF1"/>
    <w:rsid w:val="00A0192E"/>
    <w:rsid w:val="00A036C4"/>
    <w:rsid w:val="00A041C4"/>
    <w:rsid w:val="00A10606"/>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18B1"/>
    <w:rsid w:val="00A6364B"/>
    <w:rsid w:val="00A63AA1"/>
    <w:rsid w:val="00A64A5F"/>
    <w:rsid w:val="00A666E1"/>
    <w:rsid w:val="00A73412"/>
    <w:rsid w:val="00A73B44"/>
    <w:rsid w:val="00A74C9D"/>
    <w:rsid w:val="00A754FD"/>
    <w:rsid w:val="00A80981"/>
    <w:rsid w:val="00A80BBD"/>
    <w:rsid w:val="00A82502"/>
    <w:rsid w:val="00A82845"/>
    <w:rsid w:val="00A90200"/>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AF6CA7"/>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53C5F"/>
    <w:rsid w:val="00B57280"/>
    <w:rsid w:val="00B62A93"/>
    <w:rsid w:val="00B63770"/>
    <w:rsid w:val="00B643E7"/>
    <w:rsid w:val="00B65FAE"/>
    <w:rsid w:val="00B7259B"/>
    <w:rsid w:val="00B768F4"/>
    <w:rsid w:val="00B77F93"/>
    <w:rsid w:val="00B80AA0"/>
    <w:rsid w:val="00B81969"/>
    <w:rsid w:val="00B82FD7"/>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03F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1558"/>
    <w:rsid w:val="00C42035"/>
    <w:rsid w:val="00C42AE9"/>
    <w:rsid w:val="00C4360C"/>
    <w:rsid w:val="00C51EE9"/>
    <w:rsid w:val="00C53010"/>
    <w:rsid w:val="00C53D73"/>
    <w:rsid w:val="00C55C9A"/>
    <w:rsid w:val="00C57AAE"/>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6B7"/>
    <w:rsid w:val="00CC3A65"/>
    <w:rsid w:val="00CC40FF"/>
    <w:rsid w:val="00CC5074"/>
    <w:rsid w:val="00CC6BC8"/>
    <w:rsid w:val="00CC6E3B"/>
    <w:rsid w:val="00CD23BD"/>
    <w:rsid w:val="00CD4143"/>
    <w:rsid w:val="00CD56C1"/>
    <w:rsid w:val="00CD58AF"/>
    <w:rsid w:val="00CD68EF"/>
    <w:rsid w:val="00CD7337"/>
    <w:rsid w:val="00CE0CF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5D2"/>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36E62"/>
    <w:rsid w:val="00E417D8"/>
    <w:rsid w:val="00E43646"/>
    <w:rsid w:val="00E4499B"/>
    <w:rsid w:val="00E457D8"/>
    <w:rsid w:val="00E51559"/>
    <w:rsid w:val="00E52B71"/>
    <w:rsid w:val="00E552E0"/>
    <w:rsid w:val="00E5540E"/>
    <w:rsid w:val="00E55FF9"/>
    <w:rsid w:val="00E602A6"/>
    <w:rsid w:val="00E60E36"/>
    <w:rsid w:val="00E62D8A"/>
    <w:rsid w:val="00E642A2"/>
    <w:rsid w:val="00E65147"/>
    <w:rsid w:val="00E654F1"/>
    <w:rsid w:val="00E662AB"/>
    <w:rsid w:val="00E6699B"/>
    <w:rsid w:val="00E71AE4"/>
    <w:rsid w:val="00E721F5"/>
    <w:rsid w:val="00E72788"/>
    <w:rsid w:val="00E7566C"/>
    <w:rsid w:val="00E77043"/>
    <w:rsid w:val="00E920C2"/>
    <w:rsid w:val="00E95A71"/>
    <w:rsid w:val="00E97ACA"/>
    <w:rsid w:val="00EA0D84"/>
    <w:rsid w:val="00EA1169"/>
    <w:rsid w:val="00EA2738"/>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EF5DF5"/>
    <w:rsid w:val="00F02CE7"/>
    <w:rsid w:val="00F042AD"/>
    <w:rsid w:val="00F10B6E"/>
    <w:rsid w:val="00F148EF"/>
    <w:rsid w:val="00F1647E"/>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31A7"/>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4AD5"/>
    <w:rsid w:val="00FF53FC"/>
    <w:rsid w:val="00FF7E67"/>
    <w:rsid w:val="04167ADE"/>
    <w:rsid w:val="064C060B"/>
    <w:rsid w:val="0663650E"/>
    <w:rsid w:val="07C0373B"/>
    <w:rsid w:val="0935504D"/>
    <w:rsid w:val="108642F6"/>
    <w:rsid w:val="16E762A2"/>
    <w:rsid w:val="1A781AD7"/>
    <w:rsid w:val="2F02092C"/>
    <w:rsid w:val="328B4B29"/>
    <w:rsid w:val="350F426F"/>
    <w:rsid w:val="39EA27CC"/>
    <w:rsid w:val="43E23B0B"/>
    <w:rsid w:val="452C631A"/>
    <w:rsid w:val="47283A28"/>
    <w:rsid w:val="4BED77A1"/>
    <w:rsid w:val="4DA34F62"/>
    <w:rsid w:val="4F8132D3"/>
    <w:rsid w:val="4FA82A40"/>
    <w:rsid w:val="516A26A0"/>
    <w:rsid w:val="54454425"/>
    <w:rsid w:val="57D6727C"/>
    <w:rsid w:val="5A5119FF"/>
    <w:rsid w:val="5BE724C4"/>
    <w:rsid w:val="5FD03D3F"/>
    <w:rsid w:val="64B97D6A"/>
    <w:rsid w:val="689C4F29"/>
    <w:rsid w:val="6B62463B"/>
    <w:rsid w:val="6B73086C"/>
    <w:rsid w:val="70480A83"/>
    <w:rsid w:val="71671F2B"/>
    <w:rsid w:val="722B2CAC"/>
    <w:rsid w:val="73582DD6"/>
    <w:rsid w:val="73C60B25"/>
    <w:rsid w:val="74C0081A"/>
    <w:rsid w:val="754A7C3C"/>
    <w:rsid w:val="76443AFC"/>
    <w:rsid w:val="7A0207DB"/>
    <w:rsid w:val="7D4E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60" w:lineRule="atLeast"/>
      <w:ind w:left="200" w:leftChars="200"/>
    </w:pPr>
    <w:rPr>
      <w:szCs w:val="24"/>
    </w:rPr>
  </w:style>
  <w:style w:type="paragraph" w:styleId="6">
    <w:name w:val="Plain Text"/>
    <w:basedOn w:val="1"/>
    <w:qFormat/>
    <w:uiPriority w:val="0"/>
    <w:rPr>
      <w:rFonts w:ascii="宋体" w:hAnsi="Courier New"/>
    </w:rPr>
  </w:style>
  <w:style w:type="paragraph" w:styleId="7">
    <w:name w:val="Date"/>
    <w:basedOn w:val="1"/>
    <w:next w:val="1"/>
    <w:link w:val="24"/>
    <w:semiHidden/>
    <w:unhideWhenUsed/>
    <w:qFormat/>
    <w:uiPriority w:val="99"/>
    <w:pPr>
      <w:ind w:left="100" w:leftChars="2500"/>
    </w:pPr>
    <w:rPr>
      <w:lang w:val="zh-CN"/>
    </w:rPr>
  </w:style>
  <w:style w:type="paragraph" w:styleId="8">
    <w:name w:val="Body Text Indent 2"/>
    <w:basedOn w:val="1"/>
    <w:qFormat/>
    <w:uiPriority w:val="0"/>
    <w:pPr>
      <w:spacing w:after="120" w:line="480" w:lineRule="auto"/>
      <w:ind w:left="420" w:leftChars="200"/>
    </w:pPr>
  </w:style>
  <w:style w:type="paragraph" w:styleId="9">
    <w:name w:val="endnote text"/>
    <w:basedOn w:val="1"/>
    <w:qFormat/>
    <w:uiPriority w:val="0"/>
    <w:pPr>
      <w:snapToGrid w:val="0"/>
      <w:jc w:val="left"/>
    </w:pPr>
    <w:rPr>
      <w:rFonts w:ascii="宋体" w:hAnsi="宋体"/>
      <w:sz w:val="28"/>
      <w:szCs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4"/>
    <w:next w:val="4"/>
    <w:qFormat/>
    <w:uiPriority w:val="0"/>
    <w:rPr>
      <w:b/>
      <w:bCs/>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修订1"/>
    <w:qFormat/>
    <w:uiPriority w:val="0"/>
    <w:rPr>
      <w:rFonts w:ascii="Times New Roman" w:hAnsi="Times New Roman" w:eastAsia="宋体" w:cs="Times New Roman"/>
      <w:kern w:val="2"/>
      <w:sz w:val="21"/>
      <w:lang w:val="en-US" w:eastAsia="zh-CN" w:bidi="ar-SA"/>
    </w:rPr>
  </w:style>
  <w:style w:type="paragraph" w:styleId="23">
    <w:name w:val="List Paragraph"/>
    <w:basedOn w:val="1"/>
    <w:link w:val="26"/>
    <w:qFormat/>
    <w:uiPriority w:val="34"/>
    <w:pPr>
      <w:ind w:firstLine="420" w:firstLineChars="200"/>
    </w:pPr>
  </w:style>
  <w:style w:type="character" w:customStyle="1" w:styleId="24">
    <w:name w:val="日期 字符"/>
    <w:link w:val="7"/>
    <w:semiHidden/>
    <w:qFormat/>
    <w:uiPriority w:val="99"/>
    <w:rPr>
      <w:kern w:val="2"/>
      <w:sz w:val="21"/>
    </w:rPr>
  </w:style>
  <w:style w:type="character" w:customStyle="1" w:styleId="25">
    <w:name w:val="apple-converted-space"/>
    <w:qFormat/>
    <w:uiPriority w:val="0"/>
  </w:style>
  <w:style w:type="character" w:customStyle="1" w:styleId="26">
    <w:name w:val="列表段落 字符"/>
    <w:basedOn w:val="17"/>
    <w:link w:val="23"/>
    <w:qFormat/>
    <w:uiPriority w:val="34"/>
    <w:rPr>
      <w:kern w:val="2"/>
      <w:sz w:val="21"/>
    </w:rPr>
  </w:style>
  <w:style w:type="paragraph" w:customStyle="1" w:styleId="27">
    <w:name w:val="_Style 43"/>
    <w:basedOn w:val="28"/>
    <w:next w:val="1"/>
    <w:qFormat/>
    <w:uiPriority w:val="9"/>
    <w:pPr>
      <w:keepNext/>
      <w:keepLines/>
      <w:widowControl w:val="0"/>
      <w:spacing w:before="60" w:after="60"/>
      <w:jc w:val="both"/>
      <w:outlineLvl w:val="2"/>
    </w:pPr>
    <w:rPr>
      <w:rFonts w:ascii="Calibri" w:hAnsi="Calibri" w:cs="Times New Roman"/>
      <w:b/>
      <w:bCs w:val="0"/>
      <w:kern w:val="2"/>
      <w:szCs w:val="32"/>
    </w:rPr>
  </w:style>
  <w:style w:type="paragraph" w:customStyle="1" w:styleId="28">
    <w:name w:val="_Style 40"/>
    <w:qFormat/>
    <w:uiPriority w:val="0"/>
    <w:pPr>
      <w:spacing w:after="160" w:line="278" w:lineRule="auto"/>
    </w:pPr>
    <w:rPr>
      <w:rFonts w:ascii="Times New Roman" w:hAnsi="Times New Roman" w:eastAsia="宋体" w:cs="宋体"/>
      <w:bCs/>
      <w:sz w:val="21"/>
      <w:szCs w:val="21"/>
      <w:lang w:val="en-US" w:eastAsia="zh-CN" w:bidi="ar-SA"/>
    </w:rPr>
  </w:style>
  <w:style w:type="paragraph" w:customStyle="1" w:styleId="29">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BCA6-C5B9-4091-AACD-6BBA3EF438AC}">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12</Pages>
  <Words>7953</Words>
  <Characters>8449</Characters>
  <Lines>1142</Lines>
  <Paragraphs>743</Paragraphs>
  <TotalTime>87</TotalTime>
  <ScaleCrop>false</ScaleCrop>
  <LinksUpToDate>false</LinksUpToDate>
  <CharactersWithSpaces>8626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2024-12-31T06:56:00Z</dcterms:created>
  <dc:creator>陈朝晖</dc:creator>
  <cp:lastModifiedBy>ningjie</cp:lastModifiedBy>
  <cp:lastPrinted>2024-12-31T03:15:00Z</cp:lastPrinted>
  <dcterms:modified xsi:type="dcterms:W3CDTF">2026-04-07T08:32:53Z</dcterms:modified>
  <dc:title>中小企业板信息披露业务备忘录第5号</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eyJoZGlkIjoiYmI5MGVjNTMxMzIwZWJlOGIxNWJiY2EwMGQzNDBiOWMiLCJ1c2VySWQiOiI1MzQ0MjI3MDUifQ==</vt:lpwstr>
  </property>
  <property fmtid="{D5CDD505-2E9C-101B-9397-08002B2CF9AE}" pid="4" name="ICV">
    <vt:lpwstr>B8223BCFAD964DC28C95C6434976D166_13</vt:lpwstr>
  </property>
</Properties>
</file>