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E72DC" w14:textId="77777777" w:rsidR="00391A52" w:rsidRDefault="00102A7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证券代码：</w:t>
      </w:r>
      <w:r>
        <w:rPr>
          <w:rFonts w:ascii="宋体" w:eastAsia="宋体" w:hAnsi="宋体" w:hint="eastAsia"/>
          <w:sz w:val="28"/>
          <w:szCs w:val="28"/>
        </w:rPr>
        <w:t>600845 900926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证券简称：宝信软件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宝信</w:t>
      </w:r>
      <w:r>
        <w:rPr>
          <w:rFonts w:ascii="宋体" w:eastAsia="宋体" w:hAnsi="宋体" w:hint="eastAsia"/>
          <w:sz w:val="28"/>
          <w:szCs w:val="28"/>
        </w:rPr>
        <w:t>B</w:t>
      </w:r>
    </w:p>
    <w:p w14:paraId="3169425B" w14:textId="77777777" w:rsidR="00391A52" w:rsidRDefault="00102A79">
      <w:pPr>
        <w:jc w:val="center"/>
        <w:rPr>
          <w:rFonts w:ascii="宋体" w:eastAsia="宋体" w:hAnsi="宋体"/>
          <w:b/>
          <w:sz w:val="36"/>
          <w:szCs w:val="28"/>
        </w:rPr>
      </w:pPr>
      <w:r>
        <w:rPr>
          <w:rFonts w:ascii="宋体" w:eastAsia="宋体" w:hAnsi="宋体" w:hint="eastAsia"/>
          <w:b/>
          <w:sz w:val="36"/>
          <w:szCs w:val="28"/>
        </w:rPr>
        <w:t>上海宝信软件股份有限公司投资者关系活动记录表</w:t>
      </w:r>
    </w:p>
    <w:p w14:paraId="2E236E22" w14:textId="77777777" w:rsidR="00391A52" w:rsidRDefault="00102A79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编号：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-</w:t>
      </w:r>
      <w:r>
        <w:rPr>
          <w:rFonts w:ascii="宋体" w:eastAsia="宋体" w:hAnsi="宋体" w:hint="eastAsia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2</w:t>
      </w:r>
    </w:p>
    <w:tbl>
      <w:tblPr>
        <w:tblStyle w:val="a8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52"/>
      </w:tblGrid>
      <w:tr w:rsidR="00391A52" w14:paraId="4AE6B2A2" w14:textId="77777777">
        <w:trPr>
          <w:jc w:val="center"/>
        </w:trPr>
        <w:tc>
          <w:tcPr>
            <w:tcW w:w="1668" w:type="dxa"/>
          </w:tcPr>
          <w:p w14:paraId="2044D65C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投资者关系活动类别</w:t>
            </w:r>
          </w:p>
        </w:tc>
        <w:tc>
          <w:tcPr>
            <w:tcW w:w="7052" w:type="dxa"/>
          </w:tcPr>
          <w:p w14:paraId="0BE05041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特定对象调研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分析师会议</w:t>
            </w:r>
          </w:p>
          <w:p w14:paraId="3773965F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媒体采访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0052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业绩说明会</w:t>
            </w:r>
          </w:p>
          <w:p w14:paraId="685C7C4C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新闻发布会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路演活动</w:t>
            </w:r>
          </w:p>
          <w:p w14:paraId="3F195BE2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现场参观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其他</w:t>
            </w:r>
          </w:p>
        </w:tc>
      </w:tr>
      <w:tr w:rsidR="00391A52" w14:paraId="5EF57F5B" w14:textId="77777777">
        <w:trPr>
          <w:jc w:val="center"/>
        </w:trPr>
        <w:tc>
          <w:tcPr>
            <w:tcW w:w="1668" w:type="dxa"/>
          </w:tcPr>
          <w:p w14:paraId="0F5FE046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参与人员</w:t>
            </w:r>
          </w:p>
        </w:tc>
        <w:tc>
          <w:tcPr>
            <w:tcW w:w="7052" w:type="dxa"/>
          </w:tcPr>
          <w:p w14:paraId="676EC5DE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</w:t>
            </w:r>
          </w:p>
        </w:tc>
      </w:tr>
      <w:tr w:rsidR="00391A52" w14:paraId="088445D1" w14:textId="77777777">
        <w:trPr>
          <w:jc w:val="center"/>
        </w:trPr>
        <w:tc>
          <w:tcPr>
            <w:tcW w:w="1668" w:type="dxa"/>
          </w:tcPr>
          <w:p w14:paraId="0B23B388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时间</w:t>
            </w:r>
          </w:p>
        </w:tc>
        <w:tc>
          <w:tcPr>
            <w:tcW w:w="7052" w:type="dxa"/>
          </w:tcPr>
          <w:p w14:paraId="73AB2A57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4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3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周五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15:00-16:30</w:t>
            </w:r>
          </w:p>
        </w:tc>
      </w:tr>
      <w:tr w:rsidR="00391A52" w14:paraId="7206C84F" w14:textId="77777777">
        <w:trPr>
          <w:jc w:val="center"/>
        </w:trPr>
        <w:tc>
          <w:tcPr>
            <w:tcW w:w="1668" w:type="dxa"/>
          </w:tcPr>
          <w:p w14:paraId="5577204B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地点</w:t>
            </w:r>
          </w:p>
        </w:tc>
        <w:tc>
          <w:tcPr>
            <w:tcW w:w="7052" w:type="dxa"/>
          </w:tcPr>
          <w:p w14:paraId="11D9D08F" w14:textId="77777777" w:rsidR="00391A52" w:rsidRDefault="00102A79">
            <w:pPr>
              <w:jc w:val="left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上海证券交易所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上证路演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中心（网址：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https://roadshow.sseinfo.com/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</w:t>
            </w:r>
          </w:p>
          <w:p w14:paraId="561EAE05" w14:textId="77777777" w:rsidR="00391A52" w:rsidRDefault="00102A79">
            <w:pPr>
              <w:jc w:val="left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全景投资者关系互动平台（网址：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https://rs.p5w.net/html/177398509555318.shtml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</w:t>
            </w:r>
          </w:p>
        </w:tc>
      </w:tr>
      <w:tr w:rsidR="00391A52" w14:paraId="26CBD603" w14:textId="77777777">
        <w:trPr>
          <w:jc w:val="center"/>
        </w:trPr>
        <w:tc>
          <w:tcPr>
            <w:tcW w:w="1668" w:type="dxa"/>
          </w:tcPr>
          <w:p w14:paraId="093F7E61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上市公司接待人员</w:t>
            </w:r>
          </w:p>
        </w:tc>
        <w:tc>
          <w:tcPr>
            <w:tcW w:w="7052" w:type="dxa"/>
            <w:shd w:val="clear" w:color="auto" w:fill="auto"/>
          </w:tcPr>
          <w:p w14:paraId="6A64467D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党委书记、董事长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田国兵先生</w:t>
            </w:r>
          </w:p>
          <w:p w14:paraId="01077476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董事、总裁、党委副书记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王剑虎先生</w:t>
            </w:r>
            <w:proofErr w:type="gramEnd"/>
          </w:p>
          <w:p w14:paraId="318F70E5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独立董事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孙志祥女士</w:t>
            </w:r>
          </w:p>
          <w:p w14:paraId="3BAFDCC6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高级副总裁、总法律顾问、董事会秘书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刘慈玲女士</w:t>
            </w:r>
          </w:p>
        </w:tc>
      </w:tr>
      <w:tr w:rsidR="00391A52" w14:paraId="398F4907" w14:textId="77777777">
        <w:trPr>
          <w:jc w:val="center"/>
        </w:trPr>
        <w:tc>
          <w:tcPr>
            <w:tcW w:w="8720" w:type="dxa"/>
            <w:gridSpan w:val="2"/>
          </w:tcPr>
          <w:p w14:paraId="557DFD64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投资者关系活动主要内容介绍：</w:t>
            </w:r>
          </w:p>
          <w:p w14:paraId="235B00AF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公司董事长简要介绍公司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年度总体经营情况及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年重点工作，公司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领导线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上与投资者互动交流。</w:t>
            </w:r>
          </w:p>
          <w:p w14:paraId="5711B47F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宝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股价不到宝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的三分之一！，如果认为宝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有投资价值的话怎么看宝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股价？我认为宝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股价已成为公司再融资的绊脚石！不知领导怎么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看？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十五五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开局了，不知在这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屆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董事会期间有沒有解决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股的方案？请董事长先生回答！</w:t>
            </w:r>
          </w:p>
          <w:p w14:paraId="1032E8E1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股价格和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股价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格存在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差异是普遍现象。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股价格不影响公司再融资，公司拥有多元融资工具和渠道。目前公司没有和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股相关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的计划。</w:t>
            </w:r>
          </w:p>
          <w:p w14:paraId="2450B81A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1.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公司在人工智能领域的核心竞争力是什么？是否具备自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大模型的能力？</w:t>
            </w:r>
          </w:p>
          <w:p w14:paraId="40FB8AE8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2.IDC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业务未来的规划是什么？现有的机柜什么时候能满负荷运行？公司有什么提高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营收的措施？</w:t>
            </w:r>
          </w:p>
          <w:p w14:paraId="76D9577C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3.PLC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在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宝武系统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外部的应用情况如何？是否开发下一代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PLC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或类似产品的计划？公司在工业传感器领域有何研发计划？</w:t>
            </w:r>
          </w:p>
          <w:p w14:paraId="0CA49CC6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4.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公司的工业大模型在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宝武系统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外部的应用情况如何？公司有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什么提供市占率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的计划和措施？</w:t>
            </w:r>
          </w:p>
          <w:p w14:paraId="702F3089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公开渠道查到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年一季度的中标金额下架，且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.2026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年关联交易额度下降。在次背景下，公司能否保证营收和利润增长？有何具体的计划和措施？</w:t>
            </w:r>
          </w:p>
          <w:p w14:paraId="737C3D98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6.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公司机器人业务在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宝武系统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外部的应用情况如何？人形机器人产品何时能在钢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铁生产一线部署？</w:t>
            </w:r>
          </w:p>
          <w:p w14:paraId="440ED1EA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）公司核心优势在于钢铁等流程工业全流程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Know-How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、海量工业数据及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PLC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、工业软件、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算力中心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等全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栈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技术能力，已形成通用大模型在短期内难以复制的壁垒。当前公司正在大力推进深化“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AI+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钢铁”垂直融合应用，重构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原生产品体系，构建开放协同产业生态等工作。</w:t>
            </w:r>
          </w:p>
          <w:p w14:paraId="53582BEF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）宝信软件是国内较早布局数据中心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与算力中心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的第三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方服务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商，目前已在全国十余地布局，仍有充足空间支撑增长。核心布局为上海罗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泾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与张家口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宣化两大基地，罗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泾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正结合政策与用户需求扩容；宣化基地规划六栋楼，部分楼栋已交付，今年重点推进用户上架；剩余楼栋正在建设。公司将从传统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向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升级，未来重点深挖马鞍山、南京、武汉等地存量资源，同时加快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建设算力中心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，结合工业大模型与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应用，打造“数据中心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+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算力中心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+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算力服务”体系。海外方面，伴随国内企业走出去，公司也在探索服务海外用户，但目前暂不具备大规模建设条件，将以试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点摸索、单点突破为主。</w:t>
            </w:r>
          </w:p>
          <w:p w14:paraId="2085C280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3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）天行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PLC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广泛应用于钢铁、港口、矿山等行业。公司的自动化工程项目中会使用工业传感器。</w:t>
            </w:r>
          </w:p>
          <w:p w14:paraId="25B40C42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4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）宝联登工业互联网平台和工业大模型是双跨平台，广泛应用于多个行业和领域。</w:t>
            </w:r>
          </w:p>
          <w:p w14:paraId="7147CB2D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）从三方面发力：一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是织密钢铁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服务网络，从服务头部用户转向覆盖差异化、成长型用户，并适配产品技术；二是拓展流程工业赛道，将钢铁领域的技术能力延伸至矿山、有色、化工及轨道交通等行业；三是拓展海外市场，坚定走出去，从国内市场走向海外广阔空间，支撑未来业绩改善。</w:t>
            </w:r>
          </w:p>
          <w:p w14:paraId="536A03B8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）宝信在机器人领域布局已久，过去以提供解决方案为主，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2023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底增资控股图灵机器人后，形成了产品、工程、服务完整体系，其规划产能近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万台，覆盖工业、协作及人形机器人，人形机器人样机已公开亮相。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年我们将推出具身智能场景样机，业务从钢铁、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3C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等向矿山、有色等行业拓展，并开放机器人全生命周期管理平台赋能用户。机器人是公司“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1+X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”产业布局中发展业务之一。</w:t>
            </w:r>
          </w:p>
          <w:p w14:paraId="24F16D3D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宝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改革建议﹕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﹕宝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停牌；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由公司联合一家基金公司发起募集一只美元基金（优先宝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投资者和员工认购）募集的资金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用於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回购外资持有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的全部股份。回购办法可以参考新三板摘牌公司股东退出补偿办法，但外资股东必须如期全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部退出！这样宝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就成了一家纯内资公司。按照现有政策国内居民每年有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万美元额度外币兑換且是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用於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回购有发展前景的股份相信募到足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夠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资金是可能的！基金回购到的这些筹码因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价廉将很好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处理！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3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：宝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复牌；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以后宝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的改革会容易多了！</w:t>
            </w:r>
          </w:p>
          <w:p w14:paraId="038A3AE9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答：感谢您的关注和建议。</w:t>
            </w:r>
          </w:p>
          <w:p w14:paraId="674A2C8F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、贵公司的服务外包营业，即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租赁，从目前能了解到的消息，上海大约有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万左右机柜，河北大约也有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万左右，南京有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万左右。但是从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年至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上半年为主营业收入增长缓慢。原因何在？上海地区的销售合同据贵公司公开信息均是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10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多年前与上海电信签的，基本已到期，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能否公告续签情况。另外上海地区的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机房是否适合现在的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需要，是否需要改造？</w:t>
            </w:r>
          </w:p>
          <w:p w14:paraId="130B5F9D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、贵公司的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PLC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产品，从目前信息看，仅推广到广西一家民营高铁企业。为何贵公司的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PLC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产品销售推广如此不堪，原因何在？</w:t>
            </w:r>
          </w:p>
          <w:p w14:paraId="6997ED05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）上海地区的数据中心适合现在的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需要。</w:t>
            </w:r>
          </w:p>
          <w:p w14:paraId="1D0C91D2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）天行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PLC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广泛应用于钢铁、港口、矿山等行业。</w:t>
            </w:r>
          </w:p>
          <w:p w14:paraId="412024B8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一季度宝之云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IDC/AIDC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业务的机柜利用率、租金水平及收入同比是否有实质性改善？</w:t>
            </w:r>
          </w:p>
          <w:p w14:paraId="456372D6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答：具体情况请关注公司已预约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4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日披露一季度报告。</w:t>
            </w:r>
          </w:p>
          <w:p w14:paraId="0843F2F3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6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股价长期低迷、机构持续减持，公司认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为问题在行业周期，还是自身竞争力不足？</w:t>
            </w:r>
          </w:p>
          <w:p w14:paraId="275A2AA0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答：我们认为股票价格是公司内在价值的体现，同时也受宏观经济、行业政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策、市场情绪、资金供求等多重复杂因素的综合影响。近年来，受宏观经济形势、钢铁主业长周期减量调结构、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软信业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整体收益率降低等影响，公司经营业绩出现下滑，我们相信经过董事会、经理层和全体员工的努力，经营业绩能够尽快止跌企稳，进而体现在股价上，继续给投资者带来投资收益。</w:t>
            </w:r>
          </w:p>
          <w:p w14:paraId="3BCC4AEA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同为工业软件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与算力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标的都在反弹，宝信却长期震荡，请问公司是否存在未披露的经营风险？</w:t>
            </w:r>
          </w:p>
          <w:p w14:paraId="107E807D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答：公司经营情况一切正常，不存在应披露未披露事项。</w:t>
            </w:r>
          </w:p>
          <w:p w14:paraId="22583F8C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8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机构资金持续流出、股价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长期跑输板块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，管理层认为是市场错判，还是公司自身经营确实存在问题？</w:t>
            </w:r>
          </w:p>
          <w:p w14:paraId="67314665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答：公司经营情况一切正常，不存在应披露未披露事项，公司经营情况请关注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3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31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日披露的《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年度报告》。</w:t>
            </w:r>
          </w:p>
          <w:p w14:paraId="71C6CACB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9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：上海机电于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年以自有资金回购注销部分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B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股、减少注册资本。在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B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股长期低迷的背景下，通过实质行动提升股东回报与市场估值修复。请问贵公司是否有类似的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考量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？</w:t>
            </w:r>
          </w:p>
          <w:p w14:paraId="6DDC8CA2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答：我们认为股票价格是公司内在价值的体现，同时也受宏观经济、行业政策、市场情绪、资金供求等多重复杂因素的综合影响。近年来，受宏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观经济形势、钢铁主业长周期减量调结构、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软信业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整体收益率降低等影响，公司经营业绩出现下滑，我们相信经过董事会、经理层和全体员工的努力，经营业绩能够尽快止跌企稳，进而体现在股价上，继续给投资者带来投资收益。</w:t>
            </w:r>
          </w:p>
          <w:p w14:paraId="5C339D32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宝之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云算力业务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被市场寄予厚望，但过去一年贡献有限，请问今年一季度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算力业务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真实收入和利用率到底如何？有没有实质性增长？</w:t>
            </w:r>
          </w:p>
          <w:p w14:paraId="2C86AAEA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答：具体情况请关注公司已预约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4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日披露一季度报告。</w:t>
            </w:r>
          </w:p>
          <w:p w14:paraId="52C8AC7E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lastRenderedPageBreak/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11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公司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2026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年第一季度经营情况如何？营收、净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利润环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比、同比是否实现明显回升？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2026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年一季度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（宝之云）及工业软件业务订单、交付、毛利率是否已迎来拐点？公司对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2026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年全年业绩增长区间是否有明确指引？能否实现较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 2025 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年显著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修复？</w:t>
            </w:r>
          </w:p>
          <w:p w14:paraId="05FCBB39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答：具体情况请关注公司已预约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2026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4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22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日披露一季度报告。</w:t>
            </w:r>
          </w:p>
          <w:p w14:paraId="321B0D92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12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为什么宝信软件在提出降本增效后。净利率反而大幅下滑。这种毛利率，净利率大幅下滑状态会持续吗？</w:t>
            </w:r>
          </w:p>
          <w:p w14:paraId="632DF8D9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一方面是不同毛利率的收入结构有差异；另一方面主要受钢铁行业宏观周期影响，客户成本控制压力传导，近年新签订单毛利率有所下降。针对毛利率下滑，公司已采取相应的成本管控、业务结构优化等措施。</w:t>
            </w:r>
          </w:p>
          <w:p w14:paraId="15ACFE7A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13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宝信软件毛利率单季度仅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24%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创了数年新低。请问这是业务拓展，基础设施建设，大量设备更新导致的？还是单纯利润受到挤压导致的？请问这种低毛利率是否会长时间持续？</w:t>
            </w:r>
          </w:p>
          <w:p w14:paraId="69D14248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一方面是不同毛利率的收入结构有差异；另一方面主要受钢铁行业宏观周期影响，客户成本控制压力传导，近年新签订单毛利率有所下降。针对毛利率下滑，公司已采取相应的成本管控、业务结构优化等措施。</w:t>
            </w:r>
          </w:p>
          <w:p w14:paraId="2D4EC1A3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宝信软件在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算力业务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上有没有加大力度拓展？</w:t>
            </w:r>
          </w:p>
          <w:p w14:paraId="4C33444F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答：宝信软件是国内较早布局数据中心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与算力中心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的第三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方服务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商，目前已在全国十余地布局，仍有充足空间支撑增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长。核心布局为上海罗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泾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与张家口宣化两大基地，罗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泾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正结合政策与用户需求扩容；宣化基地规划六栋楼，部分楼栋已交付，今年重点推进用户上架；剩余楼栋正在建设。公司将从传统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向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AIDC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升级，未来重点深挖马鞍山、南京、武汉等地存量资源，同时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加快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建设算力中心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，结合工业大模型与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AI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应用，打造“数据中心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+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算力中心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+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算力服务”体系。海外方面，伴随国内企业走出去，公司也在探索服务海外用户，但目前暂不具备大规模建设条件，将以试点摸索、单点突破为主。</w:t>
            </w:r>
          </w:p>
          <w:p w14:paraId="2A7E4E99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问题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15</w:t>
            </w:r>
            <w:r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西门子和三菱在用户生态培养方面做了大量的努力，在全国范围内与高校开展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产学研合作，公司是否有类似计划？高校是未来工程师的出生地，公司要重视起来，另外不要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太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小家子气，只盯着上海本地的高校是很难拓展全国的市场。</w:t>
            </w:r>
          </w:p>
          <w:p w14:paraId="0C793448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答：公司秉持开放的态度推动产学研用深度融合。联合科研院所、高校、产业链龙头企业等多方主体，成功获</w:t>
            </w:r>
            <w:proofErr w:type="gramStart"/>
            <w:r>
              <w:rPr>
                <w:rFonts w:ascii="仿宋" w:eastAsia="仿宋" w:hAnsi="仿宋" w:cs="仿宋" w:hint="eastAsia"/>
                <w:sz w:val="26"/>
                <w:szCs w:val="26"/>
              </w:rPr>
              <w:t>批国家</w:t>
            </w:r>
            <w:proofErr w:type="gramEnd"/>
            <w:r>
              <w:rPr>
                <w:rFonts w:ascii="仿宋" w:eastAsia="仿宋" w:hAnsi="仿宋" w:cs="仿宋" w:hint="eastAsia"/>
                <w:sz w:val="26"/>
                <w:szCs w:val="26"/>
              </w:rPr>
              <w:t>工业智能与系统集成产业技术工程化中心、工信部制造业数字化转型促进中心。深化与复旦大学、东北大学、华东理工大学等顶尖高校的合作，通过共建创新平台、联合承担国家与行业重大任务等方式，推动基础研究与产业需求精准对接。</w:t>
            </w:r>
          </w:p>
        </w:tc>
      </w:tr>
      <w:tr w:rsidR="00391A52" w14:paraId="45F59C07" w14:textId="77777777">
        <w:trPr>
          <w:jc w:val="center"/>
        </w:trPr>
        <w:tc>
          <w:tcPr>
            <w:tcW w:w="1668" w:type="dxa"/>
          </w:tcPr>
          <w:p w14:paraId="48F17426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附件清单</w:t>
            </w:r>
          </w:p>
        </w:tc>
        <w:tc>
          <w:tcPr>
            <w:tcW w:w="7052" w:type="dxa"/>
          </w:tcPr>
          <w:p w14:paraId="7201B124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无</w:t>
            </w:r>
          </w:p>
        </w:tc>
      </w:tr>
      <w:tr w:rsidR="00391A52" w14:paraId="019DBEB8" w14:textId="77777777">
        <w:trPr>
          <w:jc w:val="center"/>
        </w:trPr>
        <w:tc>
          <w:tcPr>
            <w:tcW w:w="1668" w:type="dxa"/>
          </w:tcPr>
          <w:p w14:paraId="7A6F8C62" w14:textId="77777777" w:rsidR="00391A52" w:rsidRDefault="00102A79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发布日期</w:t>
            </w:r>
          </w:p>
        </w:tc>
        <w:tc>
          <w:tcPr>
            <w:tcW w:w="7052" w:type="dxa"/>
          </w:tcPr>
          <w:p w14:paraId="2469959F" w14:textId="0F6EEBAF" w:rsidR="00391A52" w:rsidRDefault="00391A52">
            <w:pPr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</w:tbl>
    <w:p w14:paraId="6B504A18" w14:textId="77777777" w:rsidR="00391A52" w:rsidRDefault="00102A79">
      <w:pPr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cs="仿宋" w:hint="eastAsia"/>
          <w:sz w:val="26"/>
          <w:szCs w:val="26"/>
        </w:rPr>
        <w:t>注：公司严格遵守信息披露相关规则与投资者进行交流，本次活动所涉及的未来计划、发展战略等前瞻性描述不构成公司对投资者的实质承诺，敬请广大投资者注意投资风险。</w:t>
      </w:r>
      <w:bookmarkStart w:id="0" w:name="_GoBack"/>
      <w:bookmarkEnd w:id="0"/>
    </w:p>
    <w:sectPr w:rsidR="00391A52">
      <w:footerReference w:type="default" r:id="rId7"/>
      <w:pgSz w:w="11906" w:h="16838"/>
      <w:pgMar w:top="1418" w:right="1701" w:bottom="1418" w:left="1701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5204D" w14:textId="77777777" w:rsidR="00102A79" w:rsidRDefault="00102A79">
      <w:r>
        <w:separator/>
      </w:r>
    </w:p>
  </w:endnote>
  <w:endnote w:type="continuationSeparator" w:id="0">
    <w:p w14:paraId="3A67A255" w14:textId="77777777" w:rsidR="00102A79" w:rsidRDefault="0010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Segoe Print"/>
    <w:charset w:val="00"/>
    <w:family w:val="auto"/>
    <w:pitch w:val="default"/>
    <w:sig w:usb0="00000000" w:usb1="00000000" w:usb2="0001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2"/>
      </w:rPr>
      <w:id w:val="590514289"/>
    </w:sdtPr>
    <w:sdtEndPr/>
    <w:sdtContent>
      <w:p w14:paraId="39DF35AB" w14:textId="77777777" w:rsidR="00391A52" w:rsidRDefault="00102A79">
        <w:pPr>
          <w:pStyle w:val="a5"/>
          <w:jc w:val="center"/>
          <w:rPr>
            <w:rFonts w:ascii="宋体" w:eastAsia="宋体" w:hAnsi="宋体"/>
            <w:sz w:val="22"/>
          </w:rPr>
        </w:pPr>
        <w:r>
          <w:rPr>
            <w:rFonts w:ascii="宋体" w:eastAsia="宋体" w:hAnsi="宋体"/>
            <w:sz w:val="22"/>
          </w:rPr>
          <w:fldChar w:fldCharType="begin"/>
        </w:r>
        <w:r>
          <w:rPr>
            <w:rFonts w:ascii="宋体" w:eastAsia="宋体" w:hAnsi="宋体"/>
            <w:sz w:val="22"/>
          </w:rPr>
          <w:instrText>PAGE   \* MERGEFORMAT</w:instrText>
        </w:r>
        <w:r>
          <w:rPr>
            <w:rFonts w:ascii="宋体" w:eastAsia="宋体" w:hAnsi="宋体"/>
            <w:sz w:val="22"/>
          </w:rPr>
          <w:fldChar w:fldCharType="separate"/>
        </w:r>
        <w:r w:rsidR="00BA2C8E" w:rsidRPr="00BA2C8E">
          <w:rPr>
            <w:rFonts w:ascii="宋体" w:eastAsia="宋体" w:hAnsi="宋体"/>
            <w:noProof/>
            <w:sz w:val="22"/>
            <w:lang w:val="zh-CN"/>
          </w:rPr>
          <w:t>7</w:t>
        </w:r>
        <w:r>
          <w:rPr>
            <w:rFonts w:ascii="宋体" w:eastAsia="宋体" w:hAnsi="宋体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DC8C3" w14:textId="77777777" w:rsidR="00102A79" w:rsidRDefault="00102A79">
      <w:r>
        <w:separator/>
      </w:r>
    </w:p>
  </w:footnote>
  <w:footnote w:type="continuationSeparator" w:id="0">
    <w:p w14:paraId="135D6A5C" w14:textId="77777777" w:rsidR="00102A79" w:rsidRDefault="0010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BF"/>
    <w:rsid w:val="0002539D"/>
    <w:rsid w:val="00036F80"/>
    <w:rsid w:val="00046F2B"/>
    <w:rsid w:val="00054970"/>
    <w:rsid w:val="00055FAE"/>
    <w:rsid w:val="000620AF"/>
    <w:rsid w:val="000802B1"/>
    <w:rsid w:val="000808D5"/>
    <w:rsid w:val="000922FE"/>
    <w:rsid w:val="00093890"/>
    <w:rsid w:val="000B0ACE"/>
    <w:rsid w:val="000B25E9"/>
    <w:rsid w:val="000C5CAF"/>
    <w:rsid w:val="000E6C9D"/>
    <w:rsid w:val="00102A79"/>
    <w:rsid w:val="001207A1"/>
    <w:rsid w:val="00141562"/>
    <w:rsid w:val="00141A17"/>
    <w:rsid w:val="0014702F"/>
    <w:rsid w:val="00156996"/>
    <w:rsid w:val="00167908"/>
    <w:rsid w:val="001824A9"/>
    <w:rsid w:val="001913BF"/>
    <w:rsid w:val="00191A32"/>
    <w:rsid w:val="001B3406"/>
    <w:rsid w:val="001D18E9"/>
    <w:rsid w:val="001E3A1D"/>
    <w:rsid w:val="001F046E"/>
    <w:rsid w:val="00222B0D"/>
    <w:rsid w:val="00295249"/>
    <w:rsid w:val="00295AAF"/>
    <w:rsid w:val="00296356"/>
    <w:rsid w:val="002A25ED"/>
    <w:rsid w:val="002B0FCC"/>
    <w:rsid w:val="002E54A9"/>
    <w:rsid w:val="002E55FB"/>
    <w:rsid w:val="0030092D"/>
    <w:rsid w:val="00307701"/>
    <w:rsid w:val="003162BE"/>
    <w:rsid w:val="00316D9B"/>
    <w:rsid w:val="00325042"/>
    <w:rsid w:val="00331BD7"/>
    <w:rsid w:val="00351B88"/>
    <w:rsid w:val="00391A52"/>
    <w:rsid w:val="00393008"/>
    <w:rsid w:val="0039334F"/>
    <w:rsid w:val="00396340"/>
    <w:rsid w:val="003A6F12"/>
    <w:rsid w:val="00477273"/>
    <w:rsid w:val="00490A92"/>
    <w:rsid w:val="00495403"/>
    <w:rsid w:val="004B57FF"/>
    <w:rsid w:val="004B5968"/>
    <w:rsid w:val="004E0366"/>
    <w:rsid w:val="004F6A88"/>
    <w:rsid w:val="004F6FD5"/>
    <w:rsid w:val="00500ED3"/>
    <w:rsid w:val="005135B8"/>
    <w:rsid w:val="00517BA6"/>
    <w:rsid w:val="0053254A"/>
    <w:rsid w:val="00533C87"/>
    <w:rsid w:val="0053540C"/>
    <w:rsid w:val="0054144C"/>
    <w:rsid w:val="00553ECF"/>
    <w:rsid w:val="005B53E3"/>
    <w:rsid w:val="005D3B69"/>
    <w:rsid w:val="005D50C0"/>
    <w:rsid w:val="005D529A"/>
    <w:rsid w:val="005D59F4"/>
    <w:rsid w:val="005F340E"/>
    <w:rsid w:val="0060048F"/>
    <w:rsid w:val="00601386"/>
    <w:rsid w:val="006031B1"/>
    <w:rsid w:val="00606294"/>
    <w:rsid w:val="00612913"/>
    <w:rsid w:val="006169AB"/>
    <w:rsid w:val="0064454D"/>
    <w:rsid w:val="006540C3"/>
    <w:rsid w:val="006708E5"/>
    <w:rsid w:val="006B7EF2"/>
    <w:rsid w:val="006C12D8"/>
    <w:rsid w:val="006E5ECE"/>
    <w:rsid w:val="00705E1A"/>
    <w:rsid w:val="00723609"/>
    <w:rsid w:val="00757239"/>
    <w:rsid w:val="00771BA3"/>
    <w:rsid w:val="00775102"/>
    <w:rsid w:val="00781157"/>
    <w:rsid w:val="00790A2C"/>
    <w:rsid w:val="00796C95"/>
    <w:rsid w:val="007A3C2A"/>
    <w:rsid w:val="007C0792"/>
    <w:rsid w:val="007C6B10"/>
    <w:rsid w:val="007D5BD8"/>
    <w:rsid w:val="007D5F14"/>
    <w:rsid w:val="007F0A06"/>
    <w:rsid w:val="00800257"/>
    <w:rsid w:val="00803FE9"/>
    <w:rsid w:val="00821847"/>
    <w:rsid w:val="00850DCD"/>
    <w:rsid w:val="00867BFA"/>
    <w:rsid w:val="0087172A"/>
    <w:rsid w:val="008A42A5"/>
    <w:rsid w:val="008B212C"/>
    <w:rsid w:val="008C522E"/>
    <w:rsid w:val="008C6CAD"/>
    <w:rsid w:val="008D6E83"/>
    <w:rsid w:val="008F2C1E"/>
    <w:rsid w:val="0092527C"/>
    <w:rsid w:val="009344AA"/>
    <w:rsid w:val="00952A14"/>
    <w:rsid w:val="00965A0B"/>
    <w:rsid w:val="00970474"/>
    <w:rsid w:val="00997B3B"/>
    <w:rsid w:val="009C1C16"/>
    <w:rsid w:val="009D0916"/>
    <w:rsid w:val="009F0203"/>
    <w:rsid w:val="009F3A2A"/>
    <w:rsid w:val="00A017DF"/>
    <w:rsid w:val="00A05659"/>
    <w:rsid w:val="00A42DF5"/>
    <w:rsid w:val="00A831F0"/>
    <w:rsid w:val="00A9252C"/>
    <w:rsid w:val="00AA3072"/>
    <w:rsid w:val="00AE44FD"/>
    <w:rsid w:val="00AF4B55"/>
    <w:rsid w:val="00B15B65"/>
    <w:rsid w:val="00B21E71"/>
    <w:rsid w:val="00B27CDC"/>
    <w:rsid w:val="00B33430"/>
    <w:rsid w:val="00B36EC5"/>
    <w:rsid w:val="00B50A4D"/>
    <w:rsid w:val="00B70C99"/>
    <w:rsid w:val="00BA2812"/>
    <w:rsid w:val="00BA2C8E"/>
    <w:rsid w:val="00BA7A53"/>
    <w:rsid w:val="00BB7068"/>
    <w:rsid w:val="00BF65BF"/>
    <w:rsid w:val="00C04E15"/>
    <w:rsid w:val="00C159C8"/>
    <w:rsid w:val="00C2695B"/>
    <w:rsid w:val="00C53048"/>
    <w:rsid w:val="00C656B9"/>
    <w:rsid w:val="00C668D3"/>
    <w:rsid w:val="00C745D6"/>
    <w:rsid w:val="00C7689F"/>
    <w:rsid w:val="00C842F2"/>
    <w:rsid w:val="00CA4F6D"/>
    <w:rsid w:val="00CB7BD1"/>
    <w:rsid w:val="00CF77A2"/>
    <w:rsid w:val="00CF7BCF"/>
    <w:rsid w:val="00D01246"/>
    <w:rsid w:val="00D12709"/>
    <w:rsid w:val="00D36AF3"/>
    <w:rsid w:val="00D5749E"/>
    <w:rsid w:val="00D757E5"/>
    <w:rsid w:val="00D76927"/>
    <w:rsid w:val="00D81CFC"/>
    <w:rsid w:val="00DA142E"/>
    <w:rsid w:val="00DA3B99"/>
    <w:rsid w:val="00DB5351"/>
    <w:rsid w:val="00DC4659"/>
    <w:rsid w:val="00DD63E6"/>
    <w:rsid w:val="00E2299E"/>
    <w:rsid w:val="00E26A72"/>
    <w:rsid w:val="00E50E6E"/>
    <w:rsid w:val="00E52353"/>
    <w:rsid w:val="00E86FD2"/>
    <w:rsid w:val="00E874A4"/>
    <w:rsid w:val="00E90499"/>
    <w:rsid w:val="00E917E9"/>
    <w:rsid w:val="00E93C30"/>
    <w:rsid w:val="00EC4559"/>
    <w:rsid w:val="00EC50AC"/>
    <w:rsid w:val="00EC5D90"/>
    <w:rsid w:val="00F12661"/>
    <w:rsid w:val="00F13695"/>
    <w:rsid w:val="00F31556"/>
    <w:rsid w:val="00F40D1C"/>
    <w:rsid w:val="00F717CF"/>
    <w:rsid w:val="00F71909"/>
    <w:rsid w:val="00F85E39"/>
    <w:rsid w:val="00F86D9F"/>
    <w:rsid w:val="00FB607D"/>
    <w:rsid w:val="00FC16E9"/>
    <w:rsid w:val="00FD569D"/>
    <w:rsid w:val="00FE1EC9"/>
    <w:rsid w:val="00FE4064"/>
    <w:rsid w:val="00FF604F"/>
    <w:rsid w:val="03C8048D"/>
    <w:rsid w:val="06654AF9"/>
    <w:rsid w:val="08BA6A96"/>
    <w:rsid w:val="0901563F"/>
    <w:rsid w:val="0EC5459A"/>
    <w:rsid w:val="149554ED"/>
    <w:rsid w:val="14C1092D"/>
    <w:rsid w:val="18FF04F5"/>
    <w:rsid w:val="1AC51CDB"/>
    <w:rsid w:val="1BB01DB7"/>
    <w:rsid w:val="1EF86F80"/>
    <w:rsid w:val="22B06996"/>
    <w:rsid w:val="22B95972"/>
    <w:rsid w:val="24F07503"/>
    <w:rsid w:val="24F5112A"/>
    <w:rsid w:val="255D0D76"/>
    <w:rsid w:val="26887156"/>
    <w:rsid w:val="26F46C82"/>
    <w:rsid w:val="270903E4"/>
    <w:rsid w:val="28AD7631"/>
    <w:rsid w:val="2D19172E"/>
    <w:rsid w:val="2DF0286D"/>
    <w:rsid w:val="32306DF0"/>
    <w:rsid w:val="327A7498"/>
    <w:rsid w:val="33AB1655"/>
    <w:rsid w:val="3756256E"/>
    <w:rsid w:val="37712166"/>
    <w:rsid w:val="38B840F7"/>
    <w:rsid w:val="3A8F1281"/>
    <w:rsid w:val="3CC47DFF"/>
    <w:rsid w:val="3D8635CE"/>
    <w:rsid w:val="3ECA6D2C"/>
    <w:rsid w:val="43597F19"/>
    <w:rsid w:val="4423068A"/>
    <w:rsid w:val="44A534C7"/>
    <w:rsid w:val="46E511C2"/>
    <w:rsid w:val="47D739CB"/>
    <w:rsid w:val="49AC1673"/>
    <w:rsid w:val="4A08695A"/>
    <w:rsid w:val="4DEC33E0"/>
    <w:rsid w:val="4F263E43"/>
    <w:rsid w:val="4F7A16A5"/>
    <w:rsid w:val="51622DF4"/>
    <w:rsid w:val="55180172"/>
    <w:rsid w:val="56D75862"/>
    <w:rsid w:val="572A6162"/>
    <w:rsid w:val="57EF4101"/>
    <w:rsid w:val="58B67363"/>
    <w:rsid w:val="599F0108"/>
    <w:rsid w:val="60F601D7"/>
    <w:rsid w:val="617A5355"/>
    <w:rsid w:val="622E201A"/>
    <w:rsid w:val="625629DF"/>
    <w:rsid w:val="630F1D5B"/>
    <w:rsid w:val="63367425"/>
    <w:rsid w:val="69196036"/>
    <w:rsid w:val="693A1C1C"/>
    <w:rsid w:val="6A072332"/>
    <w:rsid w:val="6A4D6497"/>
    <w:rsid w:val="6CC13EB4"/>
    <w:rsid w:val="6D8F4B19"/>
    <w:rsid w:val="708B58B2"/>
    <w:rsid w:val="75C72759"/>
    <w:rsid w:val="77EB6DF0"/>
    <w:rsid w:val="7BBE69AB"/>
    <w:rsid w:val="7DBB1900"/>
    <w:rsid w:val="7E7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shaoxiangdong</cp:lastModifiedBy>
  <cp:revision>2</cp:revision>
  <cp:lastPrinted>2023-09-22T08:49:00Z</cp:lastPrinted>
  <dcterms:created xsi:type="dcterms:W3CDTF">2026-04-03T02:41:00Z</dcterms:created>
  <dcterms:modified xsi:type="dcterms:W3CDTF">2026-04-08T01:59:00Z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AE9228A5B1AA4E4D9D94A7A9915298AF_13</vt:lpwstr>
  </property>
  <property fmtid="{D5CDD505-2E9C-101B-9397-08002B2CF9AE}" pid="4" name="KSOTemplateDocerSaveRecord">
    <vt:lpwstr>eyJoZGlkIjoiNzM0M2M3ODE1ODhkMjJhNGJlMTNmNTZiZTgwYWZkYjciLCJ1c2VySWQiOiIyNDcxNjAxMDEifQ==</vt:lpwstr>
  </property>
</Properties>
</file>