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0031">
      <w:pPr>
        <w:spacing w:beforeLines="50" w:afterLines="50" w:line="480" w:lineRule="exact"/>
        <w:jc w:val="center"/>
        <w:rPr>
          <w:rFonts w:asciiTheme="minorEastAsia" w:hAnsiTheme="minorEastAsia"/>
          <w:bCs/>
          <w:sz w:val="24"/>
          <w:szCs w:val="24"/>
        </w:rPr>
      </w:pPr>
      <w:r>
        <w:rPr>
          <w:rFonts w:hint="eastAsia" w:asciiTheme="minorEastAsia" w:hAnsiTheme="minorEastAsia"/>
          <w:bCs/>
          <w:sz w:val="24"/>
          <w:szCs w:val="24"/>
        </w:rPr>
        <w:t>公司简称：绿城水务                                     公司代码：601368</w:t>
      </w:r>
    </w:p>
    <w:p w14:paraId="21704E74">
      <w:pPr>
        <w:spacing w:beforeLines="50" w:afterLines="50" w:line="480" w:lineRule="exact"/>
        <w:jc w:val="center"/>
        <w:rPr>
          <w:rFonts w:asciiTheme="minorEastAsia" w:hAnsiTheme="minorEastAsia"/>
          <w:bCs/>
          <w:sz w:val="24"/>
          <w:szCs w:val="24"/>
        </w:rPr>
      </w:pPr>
    </w:p>
    <w:p w14:paraId="426A2C49">
      <w:pPr>
        <w:spacing w:beforeLines="50" w:afterLines="50" w:line="480" w:lineRule="exact"/>
        <w:jc w:val="center"/>
        <w:rPr>
          <w:rFonts w:ascii="黑体" w:hAnsi="黑体" w:eastAsia="黑体"/>
          <w:b/>
          <w:bCs/>
          <w:sz w:val="36"/>
          <w:szCs w:val="36"/>
        </w:rPr>
      </w:pPr>
      <w:r>
        <w:rPr>
          <w:rFonts w:hint="eastAsia" w:ascii="黑体" w:hAnsi="黑体" w:eastAsia="黑体"/>
          <w:b/>
          <w:bCs/>
          <w:sz w:val="36"/>
          <w:szCs w:val="36"/>
        </w:rPr>
        <w:t>广西绿城水务</w:t>
      </w:r>
      <w:r>
        <w:rPr>
          <w:rFonts w:hint="eastAsia" w:ascii="黑体" w:hAnsi="黑体" w:eastAsia="黑体"/>
          <w:b/>
          <w:bCs/>
          <w:sz w:val="36"/>
          <w:szCs w:val="36"/>
          <w:lang w:val="en-US" w:eastAsia="zh-CN"/>
        </w:rPr>
        <w:t>集团</w:t>
      </w:r>
      <w:r>
        <w:rPr>
          <w:rFonts w:hint="eastAsia" w:ascii="黑体" w:hAnsi="黑体" w:eastAsia="黑体"/>
          <w:b/>
          <w:bCs/>
          <w:sz w:val="36"/>
          <w:szCs w:val="36"/>
        </w:rPr>
        <w:t>股份有限公司投资者关系活动记录表</w:t>
      </w:r>
    </w:p>
    <w:p w14:paraId="3210D0C3">
      <w:pPr>
        <w:spacing w:beforeLines="50" w:afterLines="50" w:line="480" w:lineRule="exact"/>
        <w:jc w:val="right"/>
        <w:rPr>
          <w:rFonts w:hint="default" w:ascii="宋体" w:hAnsi="宋体" w:eastAsia="宋体"/>
          <w:b/>
          <w:bCs/>
          <w:szCs w:val="21"/>
          <w:lang w:val="en-US" w:eastAsia="zh-CN"/>
        </w:rPr>
      </w:pPr>
      <w:r>
        <w:rPr>
          <w:rFonts w:hint="eastAsia" w:ascii="宋体" w:hAnsi="宋体" w:eastAsia="宋体"/>
          <w:b/>
          <w:bCs/>
          <w:szCs w:val="21"/>
        </w:rPr>
        <w:t>编号：202</w:t>
      </w:r>
      <w:r>
        <w:rPr>
          <w:rFonts w:hint="eastAsia" w:ascii="宋体" w:hAnsi="宋体" w:eastAsia="宋体"/>
          <w:b/>
          <w:bCs/>
          <w:szCs w:val="21"/>
          <w:lang w:val="en-US" w:eastAsia="zh-CN"/>
        </w:rPr>
        <w:t>6</w:t>
      </w:r>
      <w:r>
        <w:rPr>
          <w:rFonts w:hint="eastAsia" w:ascii="宋体" w:hAnsi="宋体" w:eastAsia="宋体"/>
          <w:b/>
          <w:bCs/>
          <w:szCs w:val="21"/>
        </w:rPr>
        <w:t>-</w:t>
      </w:r>
      <w:r>
        <w:rPr>
          <w:rFonts w:hint="eastAsia" w:ascii="宋体" w:hAnsi="宋体" w:eastAsia="宋体"/>
          <w:b/>
          <w:bCs/>
          <w:szCs w:val="21"/>
          <w:highlight w:val="none"/>
          <w:lang w:val="en-US" w:eastAsia="zh-CN"/>
        </w:rPr>
        <w:t>001</w:t>
      </w:r>
    </w:p>
    <w:tbl>
      <w:tblPr>
        <w:tblStyle w:val="5"/>
        <w:tblW w:w="92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93"/>
        <w:gridCol w:w="7654"/>
      </w:tblGrid>
      <w:tr w14:paraId="2B350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593" w:type="dxa"/>
            <w:vMerge w:val="restart"/>
            <w:vAlign w:val="center"/>
          </w:tcPr>
          <w:p w14:paraId="6A1DA6A9">
            <w:pPr>
              <w:spacing w:line="400" w:lineRule="exact"/>
              <w:jc w:val="center"/>
              <w:rPr>
                <w:rFonts w:ascii="宋体" w:hAnsi="宋体" w:eastAsia="宋体"/>
                <w:b/>
                <w:bCs/>
                <w:sz w:val="24"/>
                <w:szCs w:val="24"/>
              </w:rPr>
            </w:pPr>
            <w:r>
              <w:rPr>
                <w:rFonts w:hint="eastAsia" w:ascii="宋体" w:hAnsi="宋体" w:eastAsia="宋体"/>
                <w:b/>
                <w:bCs/>
                <w:sz w:val="24"/>
                <w:szCs w:val="24"/>
              </w:rPr>
              <w:t>投资者关系活动类别</w:t>
            </w:r>
          </w:p>
        </w:tc>
        <w:tc>
          <w:tcPr>
            <w:tcW w:w="7654" w:type="dxa"/>
            <w:vAlign w:val="center"/>
          </w:tcPr>
          <w:p w14:paraId="33A2CF9D">
            <w:pPr>
              <w:spacing w:line="360" w:lineRule="auto"/>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特定对象调研</w:t>
            </w:r>
            <w:r>
              <w:rPr>
                <w:rFonts w:ascii="宋体" w:hAnsi="宋体" w:eastAsia="宋体"/>
                <w:sz w:val="24"/>
                <w:szCs w:val="24"/>
              </w:rPr>
              <w:t xml:space="preserve">       □分析师会议       □媒体采访</w:t>
            </w:r>
          </w:p>
        </w:tc>
      </w:tr>
      <w:tr w14:paraId="3AF5D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vMerge w:val="continue"/>
            <w:vAlign w:val="center"/>
          </w:tcPr>
          <w:p w14:paraId="5B86402F">
            <w:pPr>
              <w:spacing w:line="400" w:lineRule="exact"/>
              <w:jc w:val="center"/>
              <w:rPr>
                <w:rFonts w:ascii="宋体" w:hAnsi="宋体" w:eastAsia="宋体"/>
                <w:b/>
                <w:bCs/>
                <w:sz w:val="24"/>
                <w:szCs w:val="24"/>
              </w:rPr>
            </w:pPr>
          </w:p>
        </w:tc>
        <w:tc>
          <w:tcPr>
            <w:tcW w:w="7654" w:type="dxa"/>
            <w:vAlign w:val="center"/>
          </w:tcPr>
          <w:p w14:paraId="665460A3">
            <w:pPr>
              <w:spacing w:line="360" w:lineRule="auto"/>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rPr>
              <w:t>业绩说明会</w:t>
            </w:r>
            <w:r>
              <w:rPr>
                <w:rFonts w:ascii="宋体" w:hAnsi="宋体" w:eastAsia="宋体"/>
                <w:sz w:val="24"/>
                <w:szCs w:val="24"/>
              </w:rPr>
              <w:t xml:space="preserve">         </w:t>
            </w:r>
            <w:r>
              <w:rPr>
                <w:rFonts w:hint="eastAsia" w:ascii="宋体" w:hAnsi="宋体" w:eastAsia="宋体"/>
                <w:sz w:val="24"/>
                <w:szCs w:val="24"/>
                <w:lang w:eastAsia="zh-CN"/>
              </w:rPr>
              <w:t>□</w:t>
            </w:r>
            <w:r>
              <w:rPr>
                <w:rFonts w:ascii="宋体" w:hAnsi="宋体" w:eastAsia="宋体"/>
                <w:sz w:val="24"/>
                <w:szCs w:val="24"/>
              </w:rPr>
              <w:t xml:space="preserve">新闻发布会       </w:t>
            </w:r>
            <w:r>
              <w:rPr>
                <w:rFonts w:hint="eastAsia" w:ascii="宋体" w:hAnsi="宋体" w:eastAsia="宋体"/>
                <w:sz w:val="24"/>
                <w:szCs w:val="24"/>
                <w:lang w:eastAsia="zh-CN"/>
              </w:rPr>
              <w:t>□</w:t>
            </w:r>
            <w:r>
              <w:rPr>
                <w:rFonts w:ascii="宋体" w:hAnsi="宋体" w:eastAsia="宋体"/>
                <w:sz w:val="24"/>
                <w:szCs w:val="24"/>
              </w:rPr>
              <w:t>路演活动</w:t>
            </w:r>
          </w:p>
        </w:tc>
      </w:tr>
      <w:tr w14:paraId="10841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vMerge w:val="continue"/>
            <w:vAlign w:val="center"/>
          </w:tcPr>
          <w:p w14:paraId="577923CC">
            <w:pPr>
              <w:spacing w:line="400" w:lineRule="exact"/>
              <w:jc w:val="center"/>
              <w:rPr>
                <w:rFonts w:ascii="宋体" w:hAnsi="宋体" w:eastAsia="宋体"/>
                <w:b/>
                <w:bCs/>
                <w:sz w:val="24"/>
                <w:szCs w:val="24"/>
              </w:rPr>
            </w:pPr>
          </w:p>
        </w:tc>
        <w:tc>
          <w:tcPr>
            <w:tcW w:w="7654" w:type="dxa"/>
            <w:vAlign w:val="center"/>
          </w:tcPr>
          <w:p w14:paraId="5806EEE1">
            <w:pPr>
              <w:spacing w:line="360" w:lineRule="auto"/>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rPr>
              <w:t>现场参观</w:t>
            </w:r>
            <w:r>
              <w:rPr>
                <w:rFonts w:ascii="宋体" w:hAnsi="宋体" w:eastAsia="宋体"/>
                <w:sz w:val="24"/>
                <w:szCs w:val="24"/>
              </w:rPr>
              <w:t xml:space="preserve">           □其他</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（请文字说明其他活动内容）</w:t>
            </w:r>
          </w:p>
        </w:tc>
      </w:tr>
      <w:tr w14:paraId="2ECE41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593" w:type="dxa"/>
            <w:vAlign w:val="center"/>
          </w:tcPr>
          <w:p w14:paraId="42FAFBA9">
            <w:pPr>
              <w:spacing w:line="400" w:lineRule="exact"/>
              <w:jc w:val="center"/>
              <w:rPr>
                <w:rFonts w:ascii="宋体" w:hAnsi="宋体" w:eastAsia="宋体"/>
                <w:b/>
                <w:bCs/>
                <w:sz w:val="24"/>
                <w:szCs w:val="24"/>
              </w:rPr>
            </w:pPr>
            <w:r>
              <w:rPr>
                <w:rFonts w:hint="eastAsia" w:ascii="宋体" w:hAnsi="宋体" w:eastAsia="宋体"/>
                <w:b/>
                <w:bCs/>
                <w:sz w:val="24"/>
                <w:szCs w:val="24"/>
              </w:rPr>
              <w:t>参与单位及人员</w:t>
            </w:r>
          </w:p>
        </w:tc>
        <w:tc>
          <w:tcPr>
            <w:tcW w:w="7654" w:type="dxa"/>
            <w:vAlign w:val="center"/>
          </w:tcPr>
          <w:p w14:paraId="7C3317CD">
            <w:pPr>
              <w:spacing w:line="400" w:lineRule="exact"/>
              <w:rPr>
                <w:rFonts w:ascii="宋体" w:hAnsi="宋体" w:eastAsia="宋体"/>
                <w:sz w:val="24"/>
                <w:szCs w:val="24"/>
              </w:rPr>
            </w:pPr>
            <w:r>
              <w:rPr>
                <w:rFonts w:hint="eastAsia" w:ascii="宋体" w:hAnsi="宋体" w:eastAsia="宋体"/>
                <w:sz w:val="24"/>
                <w:szCs w:val="24"/>
              </w:rPr>
              <w:t>线上参与公司2025年</w:t>
            </w:r>
            <w:r>
              <w:rPr>
                <w:rFonts w:hint="eastAsia" w:ascii="宋体" w:hAnsi="宋体" w:eastAsia="宋体"/>
                <w:sz w:val="24"/>
                <w:szCs w:val="24"/>
                <w:lang w:val="en-US" w:eastAsia="zh-CN"/>
              </w:rPr>
              <w:t>年度</w:t>
            </w:r>
            <w:r>
              <w:rPr>
                <w:rFonts w:hint="eastAsia" w:ascii="宋体" w:hAnsi="宋体" w:eastAsia="宋体"/>
                <w:sz w:val="24"/>
                <w:szCs w:val="24"/>
              </w:rPr>
              <w:t>业绩说明会的投资者</w:t>
            </w:r>
          </w:p>
        </w:tc>
      </w:tr>
      <w:tr w14:paraId="7D3FB4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vAlign w:val="center"/>
          </w:tcPr>
          <w:p w14:paraId="1731E989">
            <w:pPr>
              <w:spacing w:line="360" w:lineRule="auto"/>
              <w:jc w:val="center"/>
              <w:rPr>
                <w:rFonts w:ascii="宋体" w:hAnsi="宋体" w:eastAsia="宋体"/>
                <w:b/>
                <w:bCs/>
                <w:sz w:val="24"/>
                <w:szCs w:val="24"/>
              </w:rPr>
            </w:pPr>
            <w:r>
              <w:rPr>
                <w:rFonts w:hint="eastAsia" w:ascii="宋体" w:hAnsi="宋体" w:eastAsia="宋体"/>
                <w:b/>
                <w:bCs/>
                <w:sz w:val="24"/>
                <w:szCs w:val="24"/>
              </w:rPr>
              <w:t>时间</w:t>
            </w:r>
          </w:p>
        </w:tc>
        <w:tc>
          <w:tcPr>
            <w:tcW w:w="7654" w:type="dxa"/>
            <w:vAlign w:val="center"/>
          </w:tcPr>
          <w:p w14:paraId="44982879">
            <w:pPr>
              <w:spacing w:line="360" w:lineRule="auto"/>
              <w:jc w:val="left"/>
              <w:rPr>
                <w:rFonts w:ascii="宋体" w:hAnsi="宋体" w:eastAsia="宋体"/>
                <w:sz w:val="24"/>
                <w:szCs w:val="24"/>
              </w:rPr>
            </w:pPr>
            <w:r>
              <w:rPr>
                <w:rFonts w:hint="eastAsia" w:ascii="宋体" w:hAnsi="宋体" w:eastAsia="宋体"/>
                <w:sz w:val="24"/>
                <w:szCs w:val="24"/>
              </w:rPr>
              <w:t>20</w:t>
            </w:r>
            <w:r>
              <w:rPr>
                <w:rFonts w:hint="eastAsia" w:ascii="宋体" w:hAnsi="宋体" w:eastAsia="宋体"/>
                <w:sz w:val="24"/>
                <w:szCs w:val="24"/>
                <w:lang w:val="en-US" w:eastAsia="zh-CN"/>
              </w:rPr>
              <w:t>26</w:t>
            </w:r>
            <w:r>
              <w:rPr>
                <w:rFonts w:hint="eastAsia" w:ascii="宋体" w:hAnsi="宋体" w:eastAsia="宋体"/>
                <w:sz w:val="24"/>
                <w:szCs w:val="24"/>
              </w:rPr>
              <w:t>年</w:t>
            </w:r>
            <w:r>
              <w:rPr>
                <w:rFonts w:hint="eastAsia" w:ascii="宋体" w:hAnsi="宋体" w:eastAsia="宋体"/>
                <w:sz w:val="24"/>
                <w:szCs w:val="24"/>
                <w:lang w:val="en-US" w:eastAsia="zh-CN"/>
              </w:rPr>
              <w:t>4</w:t>
            </w:r>
            <w:r>
              <w:rPr>
                <w:rFonts w:hint="eastAsia" w:ascii="宋体" w:hAnsi="宋体" w:eastAsia="宋体"/>
                <w:sz w:val="24"/>
                <w:szCs w:val="24"/>
              </w:rPr>
              <w:t>月</w:t>
            </w:r>
            <w:r>
              <w:rPr>
                <w:rFonts w:hint="eastAsia" w:ascii="宋体" w:hAnsi="宋体" w:eastAsia="宋体"/>
                <w:sz w:val="24"/>
                <w:szCs w:val="24"/>
                <w:lang w:val="en-US" w:eastAsia="zh-CN"/>
              </w:rPr>
              <w:t>10</w:t>
            </w:r>
            <w:r>
              <w:rPr>
                <w:rFonts w:hint="eastAsia" w:ascii="宋体" w:hAnsi="宋体" w:eastAsia="宋体"/>
                <w:sz w:val="24"/>
                <w:szCs w:val="24"/>
              </w:rPr>
              <w:t>日</w:t>
            </w:r>
          </w:p>
        </w:tc>
      </w:tr>
      <w:tr w14:paraId="065F2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vAlign w:val="center"/>
          </w:tcPr>
          <w:p w14:paraId="13F7C93C">
            <w:pPr>
              <w:spacing w:line="360" w:lineRule="auto"/>
              <w:jc w:val="center"/>
              <w:rPr>
                <w:rFonts w:hint="default" w:ascii="宋体" w:hAnsi="宋体" w:eastAsia="宋体"/>
                <w:b/>
                <w:bCs/>
                <w:sz w:val="24"/>
                <w:szCs w:val="24"/>
                <w:lang w:val="en-US" w:eastAsia="zh-CN"/>
              </w:rPr>
            </w:pPr>
            <w:r>
              <w:rPr>
                <w:rFonts w:hint="eastAsia" w:ascii="宋体" w:hAnsi="宋体" w:eastAsia="宋体"/>
                <w:b/>
                <w:bCs/>
                <w:sz w:val="24"/>
                <w:szCs w:val="24"/>
              </w:rPr>
              <w:t>地点</w:t>
            </w:r>
          </w:p>
        </w:tc>
        <w:tc>
          <w:tcPr>
            <w:tcW w:w="7654" w:type="dxa"/>
            <w:vAlign w:val="center"/>
          </w:tcPr>
          <w:p w14:paraId="50BCB639">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上证路演中心 https://roadshow.sseinfo.com </w:t>
            </w:r>
          </w:p>
        </w:tc>
      </w:tr>
      <w:tr w14:paraId="19318C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1593" w:type="dxa"/>
            <w:vAlign w:val="center"/>
          </w:tcPr>
          <w:p w14:paraId="7687F9E2">
            <w:pPr>
              <w:spacing w:line="400" w:lineRule="exact"/>
              <w:jc w:val="center"/>
              <w:rPr>
                <w:rFonts w:ascii="宋体" w:hAnsi="宋体" w:eastAsia="宋体"/>
                <w:b/>
                <w:bCs/>
                <w:sz w:val="24"/>
                <w:szCs w:val="24"/>
              </w:rPr>
            </w:pPr>
            <w:r>
              <w:rPr>
                <w:rFonts w:hint="eastAsia" w:ascii="宋体" w:hAnsi="宋体" w:eastAsia="宋体"/>
                <w:b/>
                <w:bCs/>
                <w:sz w:val="24"/>
                <w:szCs w:val="24"/>
              </w:rPr>
              <w:t>上市公司接待人员</w:t>
            </w:r>
          </w:p>
        </w:tc>
        <w:tc>
          <w:tcPr>
            <w:tcW w:w="7654" w:type="dxa"/>
            <w:vAlign w:val="center"/>
          </w:tcPr>
          <w:p w14:paraId="0BBD323A">
            <w:pPr>
              <w:spacing w:line="400" w:lineRule="exact"/>
              <w:jc w:val="left"/>
              <w:rPr>
                <w:rFonts w:hint="eastAsia" w:ascii="宋体" w:hAnsi="宋体" w:eastAsia="宋体"/>
                <w:sz w:val="24"/>
                <w:szCs w:val="24"/>
                <w:lang w:val="en-US" w:eastAsia="zh-CN"/>
              </w:rPr>
            </w:pPr>
            <w:r>
              <w:rPr>
                <w:rFonts w:hint="eastAsia" w:ascii="宋体" w:hAnsi="宋体" w:eastAsia="宋体"/>
                <w:sz w:val="24"/>
                <w:szCs w:val="24"/>
                <w:lang w:val="en-US" w:eastAsia="zh-CN"/>
              </w:rPr>
              <w:t>董事、总经理：蒋俊海</w:t>
            </w:r>
          </w:p>
          <w:p w14:paraId="711D653C">
            <w:pPr>
              <w:spacing w:line="400" w:lineRule="exact"/>
              <w:jc w:val="left"/>
              <w:rPr>
                <w:rFonts w:hint="eastAsia" w:ascii="宋体" w:hAnsi="宋体" w:eastAsia="宋体"/>
                <w:sz w:val="24"/>
                <w:szCs w:val="24"/>
                <w:lang w:val="en-US" w:eastAsia="zh-CN"/>
              </w:rPr>
            </w:pPr>
            <w:r>
              <w:rPr>
                <w:rFonts w:hint="eastAsia" w:ascii="宋体" w:hAnsi="宋体" w:eastAsia="宋体"/>
                <w:sz w:val="24"/>
                <w:szCs w:val="24"/>
                <w:lang w:val="en-US" w:eastAsia="zh-CN"/>
              </w:rPr>
              <w:t>独立董事：曾富全、邓炜辉</w:t>
            </w:r>
          </w:p>
          <w:p w14:paraId="547FE880">
            <w:pPr>
              <w:spacing w:line="400" w:lineRule="exact"/>
              <w:jc w:val="left"/>
              <w:rPr>
                <w:rFonts w:hint="eastAsia" w:ascii="宋体" w:hAnsi="宋体" w:eastAsia="宋体"/>
                <w:sz w:val="24"/>
                <w:szCs w:val="24"/>
                <w:lang w:val="en-US" w:eastAsia="zh-CN"/>
              </w:rPr>
            </w:pPr>
            <w:r>
              <w:rPr>
                <w:rFonts w:hint="eastAsia" w:ascii="宋体" w:hAnsi="宋体" w:eastAsia="宋体"/>
                <w:sz w:val="24"/>
                <w:szCs w:val="24"/>
                <w:lang w:val="en-US" w:eastAsia="zh-CN"/>
              </w:rPr>
              <w:t>副总经理：许雪菁</w:t>
            </w:r>
          </w:p>
          <w:p w14:paraId="3B28C2F9">
            <w:pPr>
              <w:spacing w:line="400" w:lineRule="exact"/>
              <w:jc w:val="left"/>
              <w:rPr>
                <w:rFonts w:hint="eastAsia" w:ascii="宋体" w:hAnsi="宋体" w:eastAsia="宋体"/>
                <w:sz w:val="24"/>
                <w:szCs w:val="24"/>
                <w:lang w:val="en-US" w:eastAsia="zh-CN"/>
              </w:rPr>
            </w:pPr>
            <w:r>
              <w:rPr>
                <w:rFonts w:hint="eastAsia" w:ascii="宋体" w:hAnsi="宋体" w:eastAsia="宋体"/>
                <w:sz w:val="24"/>
                <w:szCs w:val="24"/>
                <w:lang w:val="en-US" w:eastAsia="zh-CN"/>
              </w:rPr>
              <w:t>总会计师：叶桂华</w:t>
            </w:r>
          </w:p>
          <w:p w14:paraId="0AC1DB3E">
            <w:pPr>
              <w:spacing w:line="400" w:lineRule="exact"/>
              <w:jc w:val="left"/>
              <w:rPr>
                <w:rFonts w:ascii="宋体" w:hAnsi="宋体" w:eastAsia="宋体"/>
                <w:sz w:val="24"/>
                <w:szCs w:val="24"/>
              </w:rPr>
            </w:pPr>
            <w:r>
              <w:rPr>
                <w:rFonts w:hint="eastAsia" w:ascii="宋体" w:hAnsi="宋体" w:eastAsia="宋体"/>
                <w:sz w:val="24"/>
                <w:szCs w:val="24"/>
                <w:lang w:val="en-US" w:eastAsia="zh-CN"/>
              </w:rPr>
              <w:t>董事会秘书：黄红</w:t>
            </w:r>
          </w:p>
        </w:tc>
      </w:tr>
      <w:tr w14:paraId="0C95F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593" w:type="dxa"/>
            <w:vAlign w:val="center"/>
          </w:tcPr>
          <w:p w14:paraId="5BB71614">
            <w:pPr>
              <w:spacing w:line="400" w:lineRule="exact"/>
              <w:jc w:val="center"/>
              <w:rPr>
                <w:rFonts w:ascii="宋体" w:hAnsi="宋体" w:eastAsia="宋体"/>
                <w:b/>
                <w:bCs/>
                <w:sz w:val="24"/>
                <w:szCs w:val="24"/>
              </w:rPr>
            </w:pPr>
            <w:r>
              <w:rPr>
                <w:rFonts w:hint="eastAsia" w:ascii="宋体" w:hAnsi="宋体" w:eastAsia="宋体"/>
                <w:b/>
                <w:bCs/>
                <w:sz w:val="24"/>
                <w:szCs w:val="24"/>
              </w:rPr>
              <w:t>投资者关系活动主要内容介绍</w:t>
            </w:r>
          </w:p>
        </w:tc>
        <w:tc>
          <w:tcPr>
            <w:tcW w:w="7654" w:type="dxa"/>
            <w:vAlign w:val="center"/>
          </w:tcPr>
          <w:p w14:paraId="43355456">
            <w:pPr>
              <w:spacing w:line="400" w:lineRule="exact"/>
              <w:jc w:val="left"/>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一、预征集问答</w:t>
            </w:r>
          </w:p>
          <w:p w14:paraId="4CC32527">
            <w:pPr>
              <w:spacing w:line="400" w:lineRule="exact"/>
              <w:jc w:val="left"/>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（一）</w:t>
            </w:r>
            <w:r>
              <w:rPr>
                <w:rFonts w:hint="default" w:ascii="宋体" w:hAnsi="宋体" w:eastAsia="宋体"/>
                <w:b/>
                <w:bCs/>
                <w:sz w:val="24"/>
                <w:szCs w:val="24"/>
                <w:lang w:val="en-US" w:eastAsia="zh-CN"/>
              </w:rPr>
              <w:t>公司一边应收账款长期越积越多，计提坏账大增，一边借款、债券不见压缩，财务费用居高不下，长期严重影响公司发展，侵蚀公司利润，公司股票长期低于净资产，低位运行，股东权益受损，请问公司对应收帐款有什么措施，如何压降应收帐款、财务费用，提升公司效益，如何加强市值管理。</w:t>
            </w:r>
          </w:p>
          <w:p w14:paraId="32CB83AF">
            <w:pPr>
              <w:spacing w:line="400" w:lineRule="exact"/>
              <w:jc w:val="left"/>
              <w:rPr>
                <w:rFonts w:hint="default" w:ascii="宋体" w:hAnsi="宋体" w:eastAsia="宋体"/>
                <w:sz w:val="24"/>
                <w:szCs w:val="24"/>
                <w:lang w:val="en-US" w:eastAsia="zh-CN"/>
              </w:rPr>
            </w:pPr>
            <w:r>
              <w:rPr>
                <w:rFonts w:hint="default" w:ascii="宋体" w:hAnsi="宋体" w:eastAsia="宋体"/>
                <w:sz w:val="24"/>
                <w:szCs w:val="24"/>
                <w:lang w:val="en-US" w:eastAsia="zh-CN"/>
              </w:rPr>
              <w:t>答：公司高度重视应收账款管理，多举措加大污水处理服务费催收力度，持续强化回收考核机制。同时，密切关注国家化债政策进展，积极争取政策支持，并与政府积极沟通对接，促进应收账款回收，全力维护公司及股东利益。在加强市值管理方面，公司将提升投资价值纳入战略规划，聚焦主业，推进重点项目建设，扩大产能和规模。实施精益管理和技术创新，提升核心竞争力及经营质效。秉承积极回报投资者理念，统筹企业持续发展与股东回报，制定合理利润分配方案。强化投资者关系，提升信息披露质量，通过投资者热线、官网、上证e互动等平台构建沟通机制，并完善业绩说明会常态化机制。</w:t>
            </w:r>
            <w:bookmarkStart w:id="0" w:name="_GoBack"/>
            <w:bookmarkEnd w:id="0"/>
          </w:p>
          <w:p w14:paraId="6F8B1AE7">
            <w:pPr>
              <w:spacing w:line="400" w:lineRule="exact"/>
              <w:jc w:val="left"/>
              <w:rPr>
                <w:rFonts w:hint="default" w:ascii="宋体" w:hAnsi="宋体" w:eastAsia="宋体"/>
                <w:sz w:val="24"/>
                <w:szCs w:val="24"/>
                <w:lang w:val="en-US" w:eastAsia="zh-CN"/>
              </w:rPr>
            </w:pPr>
            <w:r>
              <w:rPr>
                <w:rFonts w:hint="eastAsia" w:ascii="宋体" w:hAnsi="宋体" w:eastAsia="宋体"/>
                <w:b/>
                <w:bCs/>
                <w:sz w:val="24"/>
                <w:szCs w:val="24"/>
                <w:lang w:val="en-US" w:eastAsia="zh-CN"/>
              </w:rPr>
              <w:t>（二）</w:t>
            </w:r>
            <w:r>
              <w:rPr>
                <w:rFonts w:hint="default" w:ascii="宋体" w:hAnsi="宋体" w:eastAsia="宋体"/>
                <w:b/>
                <w:bCs/>
                <w:sz w:val="24"/>
                <w:szCs w:val="24"/>
                <w:lang w:val="en-US" w:eastAsia="zh-CN"/>
              </w:rPr>
              <w:t>公司2025年提出市值管理工作，并购重组的工作进展如何？</w:t>
            </w:r>
          </w:p>
          <w:p w14:paraId="2D92CD4F">
            <w:pPr>
              <w:spacing w:line="400" w:lineRule="exact"/>
              <w:jc w:val="left"/>
              <w:rPr>
                <w:rFonts w:hint="default" w:ascii="宋体" w:hAnsi="宋体" w:eastAsia="宋体"/>
                <w:sz w:val="24"/>
                <w:szCs w:val="24"/>
                <w:lang w:val="en-US" w:eastAsia="zh-CN"/>
              </w:rPr>
            </w:pPr>
            <w:r>
              <w:rPr>
                <w:rFonts w:hint="default" w:ascii="宋体" w:hAnsi="宋体" w:eastAsia="宋体"/>
                <w:sz w:val="24"/>
                <w:szCs w:val="24"/>
                <w:lang w:val="en-US" w:eastAsia="zh-CN"/>
              </w:rPr>
              <w:t>答：2025年，公司围绕主业增长、项目建设、降本增效、股东回报、公司治理等方向推进估值提升工作，整体执行有序。经营层面，售水量与污水处理量稳步增长，成本和融资成本持续下降，营收、净利润及毛利率同步改善；在项目建设与资产布局方面，有序推进五象、石埠等重点水厂及配套管网建设、老旧管网改造，长期发展基础夯实；在股东回报与投资者关系层面，持续完善信息披露管理制度，按时发布各类公告，高质量完成定期报告披露，同时通过业绩说明会、投资者走进上市公司等多样化活动，加强与资本市场的沟通互动；在公司治理与内控合规层面，完成监事会改革，推进内控体系建设，治理水平进一步提升；在科技创新与智慧运营方面，公司加快信息化建设与技术创新融合，为长期降本增效与精细化管理提供技术支撑。</w:t>
            </w:r>
          </w:p>
          <w:p w14:paraId="7120F25B">
            <w:pPr>
              <w:spacing w:line="400" w:lineRule="exact"/>
              <w:jc w:val="left"/>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（三）</w:t>
            </w:r>
            <w:r>
              <w:rPr>
                <w:rFonts w:hint="default" w:ascii="宋体" w:hAnsi="宋体" w:eastAsia="宋体"/>
                <w:b/>
                <w:bCs/>
                <w:sz w:val="24"/>
                <w:szCs w:val="24"/>
                <w:lang w:val="en-US" w:eastAsia="zh-CN"/>
              </w:rPr>
              <w:t>国家大力开展地方债化解，公司应收账款的催收是否和化债同步进行，今年催收工作的目标是多少？</w:t>
            </w:r>
          </w:p>
          <w:p w14:paraId="0D13FC4A">
            <w:pPr>
              <w:spacing w:line="400" w:lineRule="exact"/>
              <w:jc w:val="left"/>
              <w:rPr>
                <w:rFonts w:hint="default" w:ascii="宋体" w:hAnsi="宋体" w:eastAsia="宋体"/>
                <w:sz w:val="24"/>
                <w:szCs w:val="24"/>
                <w:lang w:val="en-US" w:eastAsia="zh-CN"/>
              </w:rPr>
            </w:pPr>
            <w:r>
              <w:rPr>
                <w:rFonts w:hint="default" w:ascii="宋体" w:hAnsi="宋体" w:eastAsia="宋体"/>
                <w:sz w:val="24"/>
                <w:szCs w:val="24"/>
                <w:lang w:val="en-US" w:eastAsia="zh-CN"/>
              </w:rPr>
              <w:t>答：公司高度重视应收账款的管理，持续开展应收款项自查和追收工作，制定了专项追收工作方案，实行专人负责，开展专项清理追收工作。同时，公司重点加强与各地政府部门的沟通汇报，持续关注国家和地方化债政策及进展，积极推动将污水处理服务费纳入地方化债范畴。公司将加大应收账款追收力度，建立健全欠费清收、回款考核与风险预警机制，切实促进应收账款回笼。</w:t>
            </w:r>
          </w:p>
          <w:p w14:paraId="5500B91A">
            <w:pPr>
              <w:spacing w:line="400" w:lineRule="exact"/>
              <w:jc w:val="left"/>
              <w:rPr>
                <w:rFonts w:hint="default" w:ascii="宋体" w:hAnsi="宋体" w:eastAsia="宋体"/>
                <w:sz w:val="24"/>
                <w:szCs w:val="24"/>
                <w:lang w:val="en-US" w:eastAsia="zh-CN"/>
              </w:rPr>
            </w:pPr>
            <w:r>
              <w:rPr>
                <w:rFonts w:hint="eastAsia" w:ascii="宋体" w:hAnsi="宋体" w:eastAsia="宋体"/>
                <w:b/>
                <w:bCs/>
                <w:sz w:val="24"/>
                <w:szCs w:val="24"/>
                <w:lang w:val="en-US" w:eastAsia="zh-CN"/>
              </w:rPr>
              <w:t>（四）</w:t>
            </w:r>
            <w:r>
              <w:rPr>
                <w:rFonts w:hint="default" w:ascii="宋体" w:hAnsi="宋体" w:eastAsia="宋体"/>
                <w:b/>
                <w:bCs/>
                <w:sz w:val="24"/>
                <w:szCs w:val="24"/>
                <w:lang w:val="en-US" w:eastAsia="zh-CN"/>
              </w:rPr>
              <w:t>五象、石埠水厂的进展如何？何时投产？年贡献增量及利润有多少？</w:t>
            </w:r>
          </w:p>
          <w:p w14:paraId="6388118E">
            <w:pPr>
              <w:spacing w:line="400" w:lineRule="exact"/>
              <w:jc w:val="left"/>
              <w:rPr>
                <w:rFonts w:hint="default" w:ascii="宋体" w:hAnsi="宋体" w:eastAsia="宋体"/>
                <w:sz w:val="24"/>
                <w:szCs w:val="24"/>
                <w:lang w:val="en-US" w:eastAsia="zh-CN"/>
              </w:rPr>
            </w:pPr>
            <w:r>
              <w:rPr>
                <w:rFonts w:hint="default" w:ascii="宋体" w:hAnsi="宋体" w:eastAsia="宋体"/>
                <w:sz w:val="24"/>
                <w:szCs w:val="24"/>
                <w:lang w:val="en-US" w:eastAsia="zh-CN"/>
              </w:rPr>
              <w:t>答：五象水厂一期工程项目预计年内建成投产；石埠水厂一期工程项目正在加快开展主体建设工作。上述两座水厂投产后，公司将新增日供水能力100万立方米，进一步扩大供水业务规模及提升区域供水保障能力，为公司持续做强做优供水主业、夯实核心竞争力奠定了坚实基础。</w:t>
            </w:r>
          </w:p>
          <w:p w14:paraId="34D7D15A">
            <w:pPr>
              <w:spacing w:line="400" w:lineRule="exact"/>
              <w:jc w:val="left"/>
              <w:rPr>
                <w:rFonts w:hint="default" w:ascii="宋体" w:hAnsi="宋体" w:eastAsia="宋体"/>
                <w:sz w:val="24"/>
                <w:szCs w:val="24"/>
                <w:lang w:val="en-US" w:eastAsia="zh-CN"/>
              </w:rPr>
            </w:pPr>
            <w:r>
              <w:rPr>
                <w:rFonts w:hint="eastAsia" w:ascii="宋体" w:hAnsi="宋体" w:eastAsia="宋体"/>
                <w:b/>
                <w:bCs/>
                <w:sz w:val="24"/>
                <w:szCs w:val="24"/>
                <w:lang w:val="en-US" w:eastAsia="zh-CN"/>
              </w:rPr>
              <w:t>（五）</w:t>
            </w:r>
            <w:r>
              <w:rPr>
                <w:rFonts w:hint="default" w:ascii="宋体" w:hAnsi="宋体" w:eastAsia="宋体"/>
                <w:b/>
                <w:bCs/>
                <w:sz w:val="24"/>
                <w:szCs w:val="24"/>
                <w:lang w:val="en-US" w:eastAsia="zh-CN"/>
              </w:rPr>
              <w:t>公司2026年营收利润增长预测如何？核心增长点是什么？</w:t>
            </w:r>
          </w:p>
          <w:p w14:paraId="4DAE21A8">
            <w:pPr>
              <w:spacing w:line="400" w:lineRule="exact"/>
              <w:jc w:val="left"/>
              <w:rPr>
                <w:rFonts w:hint="default" w:ascii="宋体" w:hAnsi="宋体" w:eastAsia="宋体"/>
                <w:sz w:val="24"/>
                <w:szCs w:val="24"/>
                <w:lang w:val="en-US" w:eastAsia="zh-CN"/>
              </w:rPr>
            </w:pPr>
            <w:r>
              <w:rPr>
                <w:rFonts w:hint="default" w:ascii="宋体" w:hAnsi="宋体" w:eastAsia="宋体"/>
                <w:sz w:val="24"/>
                <w:szCs w:val="24"/>
                <w:lang w:val="en-US" w:eastAsia="zh-CN"/>
              </w:rPr>
              <w:t>答：2026年，公司将不断增强企业核心竞争力，促进公司实现可持续稳健的发展。一是主业提质增量，通过精耕供水、污水处理存量业务、拓展新兴区域市场，推进周边水务资源整合与产业链延伸，稳固主业增长。二是项目建设赋能，稳步推进五象水厂、中尧水厂提升改造工程、老旧管网改造等重点水务项目建设，增强企业发展韧性。三是精益管理增效，借助漏损控制、节能降耗及AI技术赋能服务等举措，降低运营成本、提升服务质量与运营效率。四是科技创新驱动，深化AI、物联网等技术在水务场景的应用，推进科研项目落地与技术攻关，创新作业模式以激活发展效能。五是强化保障支撑，通过编制“十五五”规划明晰发展方向、完善公司治理与内控体系、深化人事薪酬改革激发人才活力，同时拓宽多元融资渠道、抢抓政策资金支持、严控资金与应收账款风险，筑牢发展根基，为核心业务增长保驾护航，助力公司实现可持续稳健发展。</w:t>
            </w:r>
          </w:p>
          <w:p w14:paraId="08A399CA">
            <w:pPr>
              <w:spacing w:line="400" w:lineRule="exact"/>
              <w:jc w:val="left"/>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（六）</w:t>
            </w:r>
            <w:r>
              <w:rPr>
                <w:rFonts w:hint="default" w:ascii="宋体" w:hAnsi="宋体" w:eastAsia="宋体"/>
                <w:b/>
                <w:bCs/>
                <w:sz w:val="24"/>
                <w:szCs w:val="24"/>
                <w:lang w:val="en-US" w:eastAsia="zh-CN"/>
              </w:rPr>
              <w:t>公司有没有参与数据要素建设和数据要素交易？</w:t>
            </w:r>
          </w:p>
          <w:p w14:paraId="7C7AD5E7">
            <w:pPr>
              <w:spacing w:line="400" w:lineRule="exact"/>
              <w:jc w:val="left"/>
              <w:rPr>
                <w:rFonts w:hint="default" w:ascii="宋体" w:hAnsi="宋体" w:eastAsia="宋体"/>
                <w:sz w:val="24"/>
                <w:szCs w:val="24"/>
                <w:lang w:val="en-US" w:eastAsia="zh-CN"/>
              </w:rPr>
            </w:pPr>
            <w:r>
              <w:rPr>
                <w:rFonts w:hint="default" w:ascii="宋体" w:hAnsi="宋体" w:eastAsia="宋体"/>
                <w:sz w:val="24"/>
                <w:szCs w:val="24"/>
                <w:lang w:val="en-US" w:eastAsia="zh-CN"/>
              </w:rPr>
              <w:t>答：2024年12月公司完成的企业用水行为分析数据产品成功在贵阳大数据交易所、浙江大数据交易中心完成数据产品登记，并正式上架。</w:t>
            </w:r>
          </w:p>
          <w:p w14:paraId="45B11419">
            <w:pPr>
              <w:spacing w:line="400" w:lineRule="exact"/>
              <w:jc w:val="left"/>
              <w:rPr>
                <w:rFonts w:hint="default" w:ascii="宋体" w:hAnsi="宋体" w:eastAsia="宋体"/>
                <w:sz w:val="24"/>
                <w:szCs w:val="24"/>
                <w:lang w:val="en-US" w:eastAsia="zh-CN"/>
              </w:rPr>
            </w:pPr>
          </w:p>
          <w:p w14:paraId="36CAAF26">
            <w:pPr>
              <w:numPr>
                <w:ilvl w:val="0"/>
                <w:numId w:val="1"/>
              </w:numPr>
              <w:spacing w:line="400" w:lineRule="exact"/>
              <w:jc w:val="left"/>
              <w:rPr>
                <w:rFonts w:hint="eastAsia" w:ascii="宋体" w:hAnsi="宋体" w:eastAsia="宋体" w:cstheme="minorBidi"/>
                <w:b/>
                <w:bCs/>
                <w:kern w:val="2"/>
                <w:sz w:val="24"/>
                <w:szCs w:val="24"/>
                <w:lang w:val="en-US" w:eastAsia="zh-CN" w:bidi="ar-SA"/>
              </w:rPr>
            </w:pPr>
            <w:r>
              <w:rPr>
                <w:rFonts w:hint="eastAsia" w:ascii="宋体" w:hAnsi="宋体" w:eastAsia="宋体" w:cstheme="minorBidi"/>
                <w:b/>
                <w:bCs/>
                <w:kern w:val="2"/>
                <w:sz w:val="24"/>
                <w:szCs w:val="24"/>
                <w:lang w:val="en-US" w:eastAsia="zh-CN" w:bidi="ar-SA"/>
              </w:rPr>
              <w:t>现场互动交流</w:t>
            </w:r>
          </w:p>
          <w:p w14:paraId="335FFCFF">
            <w:pPr>
              <w:numPr>
                <w:ilvl w:val="0"/>
                <w:numId w:val="2"/>
              </w:numPr>
              <w:spacing w:line="400" w:lineRule="exact"/>
              <w:jc w:val="left"/>
              <w:rPr>
                <w:rFonts w:hint="eastAsia" w:ascii="宋体" w:hAnsi="宋体" w:eastAsia="宋体" w:cstheme="minorBidi"/>
                <w:b/>
                <w:bCs/>
                <w:kern w:val="2"/>
                <w:sz w:val="24"/>
                <w:szCs w:val="24"/>
                <w:lang w:val="en-US" w:eastAsia="zh-CN" w:bidi="ar-SA"/>
              </w:rPr>
            </w:pPr>
            <w:r>
              <w:rPr>
                <w:rFonts w:hint="eastAsia" w:ascii="宋体" w:hAnsi="宋体" w:eastAsia="宋体" w:cstheme="minorBidi"/>
                <w:b/>
                <w:bCs/>
                <w:kern w:val="2"/>
                <w:sz w:val="24"/>
                <w:szCs w:val="24"/>
                <w:lang w:val="en-US" w:eastAsia="zh-CN" w:bidi="ar-SA"/>
              </w:rPr>
              <w:t>1.平陆运河开通南宁面向东盟算力中心数据中心夜冷项目大量用水是否会带来新的增长和需求？2.城投退出公用事业背景下，公司是否会转型、混改和引入战略投资者？3.公司是否参与碳交易水资源交易环境权益类市场？</w:t>
            </w:r>
          </w:p>
          <w:p w14:paraId="6BBD1070">
            <w:pPr>
              <w:numPr>
                <w:numId w:val="0"/>
              </w:numPr>
              <w:spacing w:line="400" w:lineRule="exact"/>
              <w:jc w:val="left"/>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答：</w:t>
            </w:r>
            <w:r>
              <w:rPr>
                <w:rFonts w:hint="default" w:ascii="宋体" w:hAnsi="宋体" w:eastAsia="宋体"/>
                <w:b w:val="0"/>
                <w:bCs w:val="0"/>
                <w:sz w:val="24"/>
                <w:szCs w:val="24"/>
                <w:lang w:val="en-US" w:eastAsia="zh-CN"/>
              </w:rPr>
              <w:t>公司会积极关注新兴市场和产业的机会，如有进展，公司会按照信息披露的相关规定，及时进行公告。感谢您的关注。</w:t>
            </w:r>
          </w:p>
          <w:p w14:paraId="6C0A4D1D">
            <w:pPr>
              <w:numPr>
                <w:ilvl w:val="0"/>
                <w:numId w:val="0"/>
              </w:numPr>
              <w:spacing w:line="400" w:lineRule="exact"/>
              <w:jc w:val="left"/>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二）1.南宁大力化解地方债，公司应收款项已经严重挤压利润，公司如何面对现状，如何加大催收力度？2.公司有没有参与数据要素模型建设？数据要素产品有没有挂牌交易了？3.今年有几个在建水库可以并表投产？对公司业绩增长拉动多少？4.如何解决建宁集团和绿城水务同业竞争问题，并购重组进入哪个阶段了，2026-2027年能落地吗？</w:t>
            </w:r>
          </w:p>
          <w:p w14:paraId="0789439B">
            <w:pPr>
              <w:numPr>
                <w:ilvl w:val="0"/>
                <w:numId w:val="0"/>
              </w:numPr>
              <w:spacing w:line="400" w:lineRule="exact"/>
              <w:jc w:val="left"/>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答：您提及的前三个问题公司已经在预征集问题中回复，针对第4个问题，公司如有并购重组的计划，将按照上海证券交易所的规定及时履行信息披露义务。</w:t>
            </w:r>
          </w:p>
          <w:p w14:paraId="4FC3452C">
            <w:pPr>
              <w:numPr>
                <w:ilvl w:val="0"/>
                <w:numId w:val="0"/>
              </w:numPr>
              <w:spacing w:line="400" w:lineRule="exact"/>
              <w:ind w:left="0" w:leftChars="0" w:firstLine="0" w:firstLineChars="0"/>
              <w:jc w:val="left"/>
              <w:rPr>
                <w:rFonts w:hint="default" w:ascii="宋体" w:hAnsi="宋体" w:eastAsia="宋体"/>
                <w:b/>
                <w:bCs/>
                <w:sz w:val="24"/>
                <w:szCs w:val="24"/>
                <w:lang w:val="en-US" w:eastAsia="zh-CN"/>
              </w:rPr>
            </w:pPr>
            <w:r>
              <w:rPr>
                <w:rFonts w:hint="eastAsia" w:ascii="宋体" w:hAnsi="宋体" w:eastAsia="宋体" w:cstheme="minorBidi"/>
                <w:b/>
                <w:bCs/>
                <w:kern w:val="2"/>
                <w:sz w:val="24"/>
                <w:szCs w:val="24"/>
                <w:lang w:val="en-US" w:eastAsia="zh-CN" w:bidi="ar-SA"/>
              </w:rPr>
              <w:t>（三）公司在智慧水务建设方面取得了哪些阶段性成果？数字化转型对公司降本增效产生了怎样的实际效果？</w:t>
            </w:r>
          </w:p>
          <w:p w14:paraId="0631CDF6">
            <w:pPr>
              <w:numPr>
                <w:ilvl w:val="0"/>
                <w:numId w:val="0"/>
              </w:numPr>
              <w:spacing w:line="400" w:lineRule="exact"/>
              <w:ind w:leftChars="0"/>
              <w:jc w:val="left"/>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答：近年来，公司完成了智慧水务总体规划，广泛应用新工艺、新设备和物联网、大数据、云计算等先进技术，科技赋能提升企业管理水平，相继建立了智慧调度、智慧厂站、智慧管网、智慧营业厅等信息系统，实现了全市供水“环城环网一张图大调度”、厂站“无人值守、少人管理”、地下管网“可视化”、业务财务核算一体化、OA移动审批、水费手机支付、服务业务“零跑腿、掌上办”等工作从“数字化”到“智慧化”的升级换代，逐步形成智能化运行、科学化调度、精准化服务、智慧化管理的水务管理体系。公司智慧水务生产调度系统入选第三批数字广西建设标杆引领重点示范项目，大数据平台获评“2022年数字广西建设优秀数字产品”，管网地理信息系统、供水管网压力监测系统等10个系统取得国家计算机软件著作权证书。公司通过数字化建设促进优化调度、精准控漏、智能运维，有效提升运营效率，切实推动降本增效。</w:t>
            </w:r>
          </w:p>
          <w:p w14:paraId="59BB476C">
            <w:pPr>
              <w:numPr>
                <w:ilvl w:val="0"/>
                <w:numId w:val="0"/>
              </w:numPr>
              <w:spacing w:line="400" w:lineRule="exact"/>
              <w:ind w:left="0" w:leftChars="0"/>
              <w:jc w:val="left"/>
              <w:rPr>
                <w:rFonts w:hint="eastAsia" w:ascii="宋体" w:hAnsi="宋体" w:eastAsia="宋体"/>
                <w:b/>
                <w:bCs/>
                <w:sz w:val="24"/>
                <w:szCs w:val="24"/>
                <w:lang w:val="en-US" w:eastAsia="zh-CN"/>
              </w:rPr>
            </w:pPr>
            <w:r>
              <w:rPr>
                <w:rFonts w:hint="eastAsia" w:ascii="宋体" w:hAnsi="宋体" w:eastAsia="宋体" w:cstheme="minorBidi"/>
                <w:b/>
                <w:bCs/>
                <w:kern w:val="2"/>
                <w:sz w:val="24"/>
                <w:szCs w:val="24"/>
                <w:lang w:val="en-US" w:eastAsia="zh-CN" w:bidi="ar-SA"/>
              </w:rPr>
              <w:t>（四）</w:t>
            </w:r>
            <w:r>
              <w:rPr>
                <w:rFonts w:hint="eastAsia" w:ascii="宋体" w:hAnsi="宋体" w:eastAsia="宋体"/>
                <w:b/>
                <w:bCs/>
                <w:sz w:val="24"/>
                <w:szCs w:val="24"/>
                <w:lang w:val="en-US" w:eastAsia="zh-CN"/>
              </w:rPr>
              <w:t>大股东建宁集团和旗下环发集团是否有资产注入及整体上市计划？</w:t>
            </w:r>
          </w:p>
          <w:p w14:paraId="0167C345">
            <w:pPr>
              <w:numPr>
                <w:numId w:val="0"/>
              </w:numPr>
              <w:spacing w:line="400" w:lineRule="exact"/>
              <w:jc w:val="left"/>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公司将严格按照上海证券交易所的规定及时履行信息披露义务。感谢您对公司的关注！</w:t>
            </w:r>
          </w:p>
          <w:p w14:paraId="1100F8BA">
            <w:pPr>
              <w:numPr>
                <w:ilvl w:val="0"/>
                <w:numId w:val="3"/>
              </w:numPr>
              <w:spacing w:line="400" w:lineRule="exact"/>
              <w:jc w:val="left"/>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收入越做越大，回款越拖越久，请问如何破局？</w:t>
            </w:r>
          </w:p>
          <w:p w14:paraId="7108EF06">
            <w:pPr>
              <w:numPr>
                <w:numId w:val="0"/>
              </w:numPr>
              <w:spacing w:line="400" w:lineRule="exact"/>
              <w:jc w:val="left"/>
              <w:rPr>
                <w:rFonts w:hint="default" w:ascii="宋体" w:hAnsi="宋体" w:eastAsia="宋体"/>
                <w:b/>
                <w:bCs/>
                <w:sz w:val="24"/>
                <w:szCs w:val="24"/>
                <w:lang w:val="en-US" w:eastAsia="zh-CN"/>
              </w:rPr>
            </w:pPr>
            <w:r>
              <w:rPr>
                <w:rFonts w:hint="default" w:ascii="宋体" w:hAnsi="宋体" w:eastAsia="宋体"/>
                <w:b w:val="0"/>
                <w:bCs w:val="0"/>
                <w:sz w:val="24"/>
                <w:szCs w:val="24"/>
                <w:lang w:val="en-US" w:eastAsia="zh-CN"/>
              </w:rPr>
              <w:t>公司高度重视应收账款的管理，将紧跟地方化债政策，推动污水处理费纳入化债统筹，从源头加快回款。同时，压实责任，加大应收款项清收力度，建立健全欠费清收、回款考核与风险预警机制，切实促进应收账款回笼。</w:t>
            </w:r>
          </w:p>
        </w:tc>
      </w:tr>
      <w:tr w14:paraId="457C92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593" w:type="dxa"/>
            <w:vAlign w:val="center"/>
          </w:tcPr>
          <w:p w14:paraId="096E702D">
            <w:pPr>
              <w:spacing w:line="400" w:lineRule="exact"/>
              <w:jc w:val="center"/>
              <w:rPr>
                <w:rFonts w:ascii="宋体" w:hAnsi="宋体" w:eastAsia="宋体"/>
                <w:b/>
                <w:bCs/>
                <w:sz w:val="24"/>
                <w:szCs w:val="24"/>
              </w:rPr>
            </w:pPr>
            <w:r>
              <w:rPr>
                <w:rFonts w:hint="eastAsia" w:ascii="宋体" w:hAnsi="宋体" w:eastAsia="宋体"/>
                <w:b/>
                <w:bCs/>
                <w:sz w:val="24"/>
                <w:szCs w:val="24"/>
              </w:rPr>
              <w:t>是否涉及应</w:t>
            </w:r>
          </w:p>
          <w:p w14:paraId="38AD271C">
            <w:pPr>
              <w:spacing w:line="400" w:lineRule="exact"/>
              <w:jc w:val="center"/>
              <w:rPr>
                <w:rFonts w:ascii="宋体" w:hAnsi="宋体" w:eastAsia="宋体"/>
                <w:b/>
                <w:bCs/>
                <w:sz w:val="24"/>
                <w:szCs w:val="24"/>
              </w:rPr>
            </w:pPr>
            <w:r>
              <w:rPr>
                <w:rFonts w:hint="eastAsia" w:ascii="宋体" w:hAnsi="宋体" w:eastAsia="宋体"/>
                <w:b/>
                <w:bCs/>
                <w:sz w:val="24"/>
                <w:szCs w:val="24"/>
              </w:rPr>
              <w:t>当披露重大</w:t>
            </w:r>
          </w:p>
          <w:p w14:paraId="75D5AC19">
            <w:pPr>
              <w:spacing w:line="400" w:lineRule="exact"/>
              <w:jc w:val="center"/>
              <w:rPr>
                <w:rFonts w:ascii="宋体" w:hAnsi="宋体" w:eastAsia="宋体"/>
                <w:b/>
                <w:bCs/>
                <w:sz w:val="24"/>
                <w:szCs w:val="24"/>
              </w:rPr>
            </w:pPr>
            <w:r>
              <w:rPr>
                <w:rFonts w:hint="eastAsia" w:ascii="宋体" w:hAnsi="宋体" w:eastAsia="宋体"/>
                <w:b/>
                <w:bCs/>
                <w:sz w:val="24"/>
                <w:szCs w:val="24"/>
              </w:rPr>
              <w:t>信息的说明</w:t>
            </w:r>
          </w:p>
        </w:tc>
        <w:tc>
          <w:tcPr>
            <w:tcW w:w="7654" w:type="dxa"/>
            <w:vAlign w:val="center"/>
          </w:tcPr>
          <w:p w14:paraId="501A9E71">
            <w:pPr>
              <w:spacing w:line="400" w:lineRule="exact"/>
              <w:jc w:val="center"/>
              <w:rPr>
                <w:rFonts w:ascii="宋体" w:hAnsi="宋体" w:eastAsia="宋体"/>
                <w:sz w:val="24"/>
                <w:szCs w:val="24"/>
              </w:rPr>
            </w:pPr>
            <w:r>
              <w:rPr>
                <w:rFonts w:hint="eastAsia" w:ascii="宋体" w:hAnsi="宋体" w:eastAsia="宋体"/>
                <w:sz w:val="24"/>
                <w:szCs w:val="24"/>
              </w:rPr>
              <w:t>沟通内容基于公司已公开信息披露文件</w:t>
            </w:r>
          </w:p>
        </w:tc>
      </w:tr>
      <w:tr w14:paraId="5245AA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593" w:type="dxa"/>
            <w:vAlign w:val="center"/>
          </w:tcPr>
          <w:p w14:paraId="1BA2EB30">
            <w:pPr>
              <w:spacing w:line="400" w:lineRule="exact"/>
              <w:jc w:val="center"/>
              <w:rPr>
                <w:rFonts w:ascii="宋体" w:hAnsi="宋体" w:eastAsia="宋体"/>
                <w:b/>
                <w:bCs/>
                <w:sz w:val="24"/>
                <w:szCs w:val="24"/>
              </w:rPr>
            </w:pPr>
            <w:r>
              <w:rPr>
                <w:rFonts w:hint="eastAsia" w:ascii="宋体" w:hAnsi="宋体" w:eastAsia="宋体"/>
                <w:b/>
                <w:bCs/>
                <w:sz w:val="24"/>
                <w:szCs w:val="24"/>
              </w:rPr>
              <w:t>附件清单（如有）</w:t>
            </w:r>
          </w:p>
        </w:tc>
        <w:tc>
          <w:tcPr>
            <w:tcW w:w="7654" w:type="dxa"/>
            <w:vAlign w:val="center"/>
          </w:tcPr>
          <w:p w14:paraId="539DF95E">
            <w:pPr>
              <w:spacing w:line="400" w:lineRule="exact"/>
              <w:jc w:val="center"/>
              <w:rPr>
                <w:rFonts w:ascii="宋体" w:hAnsi="宋体" w:eastAsia="宋体"/>
                <w:sz w:val="24"/>
                <w:szCs w:val="24"/>
              </w:rPr>
            </w:pPr>
            <w:r>
              <w:rPr>
                <w:rFonts w:ascii="宋体" w:hAnsi="宋体" w:eastAsia="宋体"/>
                <w:sz w:val="24"/>
                <w:szCs w:val="24"/>
              </w:rPr>
              <w:t>无</w:t>
            </w:r>
          </w:p>
        </w:tc>
      </w:tr>
    </w:tbl>
    <w:p w14:paraId="4B4E0263"/>
    <w:p w14:paraId="758D7E00"/>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3DE91"/>
    <w:multiLevelType w:val="singleLevel"/>
    <w:tmpl w:val="8F93DE91"/>
    <w:lvl w:ilvl="0" w:tentative="0">
      <w:start w:val="5"/>
      <w:numFmt w:val="chineseCounting"/>
      <w:suff w:val="nothing"/>
      <w:lvlText w:val="（%1）"/>
      <w:lvlJc w:val="left"/>
      <w:rPr>
        <w:rFonts w:hint="eastAsia"/>
      </w:rPr>
    </w:lvl>
  </w:abstractNum>
  <w:abstractNum w:abstractNumId="1">
    <w:nsid w:val="95098AE1"/>
    <w:multiLevelType w:val="singleLevel"/>
    <w:tmpl w:val="95098AE1"/>
    <w:lvl w:ilvl="0" w:tentative="0">
      <w:start w:val="2"/>
      <w:numFmt w:val="chineseCounting"/>
      <w:suff w:val="nothing"/>
      <w:lvlText w:val="%1、"/>
      <w:lvlJc w:val="left"/>
      <w:rPr>
        <w:rFonts w:hint="eastAsia"/>
      </w:rPr>
    </w:lvl>
  </w:abstractNum>
  <w:abstractNum w:abstractNumId="2">
    <w:nsid w:val="2FF4910E"/>
    <w:multiLevelType w:val="singleLevel"/>
    <w:tmpl w:val="2FF4910E"/>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ZTNjNjRmOWZmMmRlMmFmNDc5NGMxZTIyZDlhN2EifQ=="/>
  </w:docVars>
  <w:rsids>
    <w:rsidRoot w:val="0064772E"/>
    <w:rsid w:val="00003694"/>
    <w:rsid w:val="0000586C"/>
    <w:rsid w:val="00014D74"/>
    <w:rsid w:val="0002466F"/>
    <w:rsid w:val="00070108"/>
    <w:rsid w:val="000A3D14"/>
    <w:rsid w:val="000B0CB5"/>
    <w:rsid w:val="000B1129"/>
    <w:rsid w:val="000C3E97"/>
    <w:rsid w:val="000F0F9F"/>
    <w:rsid w:val="000F196A"/>
    <w:rsid w:val="00100F72"/>
    <w:rsid w:val="00120AFD"/>
    <w:rsid w:val="00145BAC"/>
    <w:rsid w:val="0014655D"/>
    <w:rsid w:val="00155419"/>
    <w:rsid w:val="00156639"/>
    <w:rsid w:val="001572DF"/>
    <w:rsid w:val="00165BBF"/>
    <w:rsid w:val="00174A4A"/>
    <w:rsid w:val="001816C4"/>
    <w:rsid w:val="00183262"/>
    <w:rsid w:val="001962EA"/>
    <w:rsid w:val="00196A82"/>
    <w:rsid w:val="001C26A7"/>
    <w:rsid w:val="001C63B4"/>
    <w:rsid w:val="001E07F9"/>
    <w:rsid w:val="001E0970"/>
    <w:rsid w:val="00200D06"/>
    <w:rsid w:val="002213A2"/>
    <w:rsid w:val="002257A5"/>
    <w:rsid w:val="00250ADC"/>
    <w:rsid w:val="0025709D"/>
    <w:rsid w:val="00273536"/>
    <w:rsid w:val="002A0691"/>
    <w:rsid w:val="002A3BA8"/>
    <w:rsid w:val="002D4F4D"/>
    <w:rsid w:val="002D72AA"/>
    <w:rsid w:val="002E7631"/>
    <w:rsid w:val="003016B6"/>
    <w:rsid w:val="00311DA7"/>
    <w:rsid w:val="003156A7"/>
    <w:rsid w:val="00343925"/>
    <w:rsid w:val="003508B6"/>
    <w:rsid w:val="003534F7"/>
    <w:rsid w:val="00384A32"/>
    <w:rsid w:val="003C0448"/>
    <w:rsid w:val="003D3DB8"/>
    <w:rsid w:val="003D4195"/>
    <w:rsid w:val="003D5933"/>
    <w:rsid w:val="003E5FC4"/>
    <w:rsid w:val="003F0A6F"/>
    <w:rsid w:val="00402D12"/>
    <w:rsid w:val="004368A7"/>
    <w:rsid w:val="004372C9"/>
    <w:rsid w:val="004656DB"/>
    <w:rsid w:val="00475893"/>
    <w:rsid w:val="004821B1"/>
    <w:rsid w:val="00490F60"/>
    <w:rsid w:val="00495E52"/>
    <w:rsid w:val="00497CF7"/>
    <w:rsid w:val="004C7CB5"/>
    <w:rsid w:val="004D199D"/>
    <w:rsid w:val="005126B6"/>
    <w:rsid w:val="0051330B"/>
    <w:rsid w:val="00522103"/>
    <w:rsid w:val="00570DD6"/>
    <w:rsid w:val="005B59E8"/>
    <w:rsid w:val="005B6D0D"/>
    <w:rsid w:val="005E2805"/>
    <w:rsid w:val="006037A0"/>
    <w:rsid w:val="00605714"/>
    <w:rsid w:val="0063220B"/>
    <w:rsid w:val="00632967"/>
    <w:rsid w:val="0064772E"/>
    <w:rsid w:val="006605BC"/>
    <w:rsid w:val="00663627"/>
    <w:rsid w:val="006866F2"/>
    <w:rsid w:val="00690B93"/>
    <w:rsid w:val="006A2EAE"/>
    <w:rsid w:val="006F2250"/>
    <w:rsid w:val="006F525C"/>
    <w:rsid w:val="006F5CAF"/>
    <w:rsid w:val="007116AE"/>
    <w:rsid w:val="00715BFC"/>
    <w:rsid w:val="0074485A"/>
    <w:rsid w:val="00754CBF"/>
    <w:rsid w:val="00764DBB"/>
    <w:rsid w:val="007A3511"/>
    <w:rsid w:val="007D62CC"/>
    <w:rsid w:val="007E03C0"/>
    <w:rsid w:val="007E4E8D"/>
    <w:rsid w:val="007F2BAA"/>
    <w:rsid w:val="007F772C"/>
    <w:rsid w:val="00802530"/>
    <w:rsid w:val="0081593A"/>
    <w:rsid w:val="00816B3A"/>
    <w:rsid w:val="0083741F"/>
    <w:rsid w:val="00837DC3"/>
    <w:rsid w:val="008416B1"/>
    <w:rsid w:val="0087049F"/>
    <w:rsid w:val="008838A6"/>
    <w:rsid w:val="00884BA0"/>
    <w:rsid w:val="008B5771"/>
    <w:rsid w:val="008B5919"/>
    <w:rsid w:val="008B778F"/>
    <w:rsid w:val="008C0182"/>
    <w:rsid w:val="008C4B50"/>
    <w:rsid w:val="008D286A"/>
    <w:rsid w:val="008D4319"/>
    <w:rsid w:val="00903774"/>
    <w:rsid w:val="0090538B"/>
    <w:rsid w:val="00922204"/>
    <w:rsid w:val="009259DA"/>
    <w:rsid w:val="00926031"/>
    <w:rsid w:val="00935032"/>
    <w:rsid w:val="00940F44"/>
    <w:rsid w:val="00940FB5"/>
    <w:rsid w:val="00946BBB"/>
    <w:rsid w:val="009519D6"/>
    <w:rsid w:val="00984040"/>
    <w:rsid w:val="009B1AB2"/>
    <w:rsid w:val="009B7E77"/>
    <w:rsid w:val="009D006D"/>
    <w:rsid w:val="009D2B8D"/>
    <w:rsid w:val="009D539E"/>
    <w:rsid w:val="009E0D01"/>
    <w:rsid w:val="00A03FA5"/>
    <w:rsid w:val="00A07422"/>
    <w:rsid w:val="00A1034E"/>
    <w:rsid w:val="00A1498C"/>
    <w:rsid w:val="00A2288E"/>
    <w:rsid w:val="00A34C97"/>
    <w:rsid w:val="00A72A3A"/>
    <w:rsid w:val="00A73CA2"/>
    <w:rsid w:val="00A9465C"/>
    <w:rsid w:val="00A97ACB"/>
    <w:rsid w:val="00AA0272"/>
    <w:rsid w:val="00AA379D"/>
    <w:rsid w:val="00AB2A13"/>
    <w:rsid w:val="00AB7133"/>
    <w:rsid w:val="00AD1E7A"/>
    <w:rsid w:val="00AE3068"/>
    <w:rsid w:val="00AE6EAA"/>
    <w:rsid w:val="00AF773B"/>
    <w:rsid w:val="00B0533D"/>
    <w:rsid w:val="00B1199F"/>
    <w:rsid w:val="00B17145"/>
    <w:rsid w:val="00B33DBD"/>
    <w:rsid w:val="00B5177B"/>
    <w:rsid w:val="00B548DD"/>
    <w:rsid w:val="00B54A90"/>
    <w:rsid w:val="00B61FEF"/>
    <w:rsid w:val="00B70821"/>
    <w:rsid w:val="00B757A0"/>
    <w:rsid w:val="00B76C67"/>
    <w:rsid w:val="00B9740B"/>
    <w:rsid w:val="00BA4038"/>
    <w:rsid w:val="00BA67EE"/>
    <w:rsid w:val="00BB3724"/>
    <w:rsid w:val="00BB5E29"/>
    <w:rsid w:val="00BD70C0"/>
    <w:rsid w:val="00BE6404"/>
    <w:rsid w:val="00C02A90"/>
    <w:rsid w:val="00C0608F"/>
    <w:rsid w:val="00C1067C"/>
    <w:rsid w:val="00C13922"/>
    <w:rsid w:val="00C14B8E"/>
    <w:rsid w:val="00C256BE"/>
    <w:rsid w:val="00C46E77"/>
    <w:rsid w:val="00C4797C"/>
    <w:rsid w:val="00C63654"/>
    <w:rsid w:val="00C640DF"/>
    <w:rsid w:val="00C72D2E"/>
    <w:rsid w:val="00C87C39"/>
    <w:rsid w:val="00CA7472"/>
    <w:rsid w:val="00CB6F6A"/>
    <w:rsid w:val="00CE6F35"/>
    <w:rsid w:val="00CE7F91"/>
    <w:rsid w:val="00D25423"/>
    <w:rsid w:val="00D339C3"/>
    <w:rsid w:val="00D6793E"/>
    <w:rsid w:val="00D9665E"/>
    <w:rsid w:val="00DC154D"/>
    <w:rsid w:val="00DC3C1D"/>
    <w:rsid w:val="00DD36D3"/>
    <w:rsid w:val="00DD38B5"/>
    <w:rsid w:val="00DD466C"/>
    <w:rsid w:val="00DD6734"/>
    <w:rsid w:val="00DE4085"/>
    <w:rsid w:val="00E0408B"/>
    <w:rsid w:val="00E1746A"/>
    <w:rsid w:val="00E30E38"/>
    <w:rsid w:val="00E32777"/>
    <w:rsid w:val="00E51423"/>
    <w:rsid w:val="00E5636F"/>
    <w:rsid w:val="00E609D9"/>
    <w:rsid w:val="00E749F5"/>
    <w:rsid w:val="00E83BC0"/>
    <w:rsid w:val="00E95B2E"/>
    <w:rsid w:val="00EB23D2"/>
    <w:rsid w:val="00EB41E3"/>
    <w:rsid w:val="00EB5A43"/>
    <w:rsid w:val="00EF0B99"/>
    <w:rsid w:val="00F16ED5"/>
    <w:rsid w:val="00F24C83"/>
    <w:rsid w:val="00F6540D"/>
    <w:rsid w:val="00F87F45"/>
    <w:rsid w:val="00F96930"/>
    <w:rsid w:val="00FA25C8"/>
    <w:rsid w:val="00FA3E70"/>
    <w:rsid w:val="00FA6108"/>
    <w:rsid w:val="00FB2F4E"/>
    <w:rsid w:val="00FC5C64"/>
    <w:rsid w:val="00FC6411"/>
    <w:rsid w:val="00FE4CE0"/>
    <w:rsid w:val="00FE76F5"/>
    <w:rsid w:val="09413511"/>
    <w:rsid w:val="13C67070"/>
    <w:rsid w:val="19EE3EE0"/>
    <w:rsid w:val="1A135EC8"/>
    <w:rsid w:val="38026CF0"/>
    <w:rsid w:val="39541399"/>
    <w:rsid w:val="48EB312E"/>
    <w:rsid w:val="4DCF18DA"/>
    <w:rsid w:val="51C71027"/>
    <w:rsid w:val="5A1F6067"/>
    <w:rsid w:val="5D7F0889"/>
    <w:rsid w:val="7107220E"/>
    <w:rsid w:val="73D06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20"/>
    <w:rPr>
      <w:i/>
      <w:iCs/>
    </w:rPr>
  </w:style>
  <w:style w:type="character" w:customStyle="1" w:styleId="8">
    <w:name w:val="页脚 Char"/>
    <w:basedOn w:val="6"/>
    <w:link w:val="2"/>
    <w:qFormat/>
    <w:uiPriority w:val="99"/>
    <w:rPr>
      <w:sz w:val="18"/>
      <w:szCs w:val="18"/>
    </w:rPr>
  </w:style>
  <w:style w:type="character" w:customStyle="1" w:styleId="9">
    <w:name w:val="页眉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1901</Words>
  <Characters>1974</Characters>
  <Lines>21</Lines>
  <Paragraphs>5</Paragraphs>
  <TotalTime>51</TotalTime>
  <ScaleCrop>false</ScaleCrop>
  <LinksUpToDate>false</LinksUpToDate>
  <CharactersWithSpaces>2064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2023-04-13T01:09:00Z</dcterms:created>
  <dc:creator>cmx</dc:creator>
  <cp:lastModifiedBy>李沛鋆</cp:lastModifiedBy>
  <cp:lastPrinted>2025-09-18T07:46:00Z</cp:lastPrinted>
  <dcterms:modified xsi:type="dcterms:W3CDTF">2026-04-10T10:16:00Z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F48E92C402B541D59BA860A91AF22544_13</vt:lpwstr>
  </property>
  <property fmtid="{D5CDD505-2E9C-101B-9397-08002B2CF9AE}" pid="4" name="KSOTemplateDocerSaveRecord">
    <vt:lpwstr>eyJoZGlkIjoiODkxY2U5Y2M4NWI1MTMwMDBkN2NjOTcyMTMyMjk2NGIiLCJ1c2VySWQiOiIzMjIxNDU4MDMifQ==</vt:lpwstr>
  </property>
</Properties>
</file>