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51465" w14:textId="77777777" w:rsidR="004178D8" w:rsidRDefault="00903A17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60049</w:t>
      </w:r>
      <w:r>
        <w:rPr>
          <w:rFonts w:hAnsi="宋体"/>
          <w:bCs/>
          <w:iCs/>
          <w:color w:val="000000"/>
          <w:sz w:val="24"/>
        </w:rPr>
        <w:t xml:space="preserve">5     </w:t>
      </w:r>
      <w:r>
        <w:rPr>
          <w:bCs/>
          <w:iCs/>
          <w:color w:val="000000"/>
          <w:sz w:val="24"/>
        </w:rPr>
        <w:t xml:space="preserve">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晋西车轴</w:t>
      </w:r>
    </w:p>
    <w:p w14:paraId="4B3CCE05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晋西车轴股份有限公司</w:t>
      </w:r>
    </w:p>
    <w:p w14:paraId="155D9367" w14:textId="77777777" w:rsidR="004178D8" w:rsidRDefault="00903A17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7EC04397" w14:textId="4F68B2E2" w:rsidR="004178D8" w:rsidRDefault="00903A17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 w:rsidR="008A3C4C">
        <w:rPr>
          <w:rFonts w:hAnsi="宋体" w:hint="eastAsia"/>
          <w:bCs/>
          <w:iCs/>
          <w:color w:val="000000"/>
          <w:sz w:val="24"/>
          <w:szCs w:val="32"/>
        </w:rPr>
        <w:t>6</w:t>
      </w:r>
      <w:r>
        <w:rPr>
          <w:rFonts w:hAnsi="宋体" w:hint="eastAsia"/>
          <w:bCs/>
          <w:iCs/>
          <w:color w:val="000000"/>
          <w:sz w:val="24"/>
          <w:szCs w:val="32"/>
        </w:rPr>
        <w:t>-00</w:t>
      </w:r>
      <w:r w:rsidR="008A3C4C">
        <w:rPr>
          <w:rFonts w:hAnsi="宋体" w:hint="eastAsia"/>
          <w:bCs/>
          <w:iCs/>
          <w:color w:val="000000"/>
          <w:sz w:val="24"/>
          <w:szCs w:val="32"/>
        </w:rPr>
        <w:t>2</w:t>
      </w:r>
    </w:p>
    <w:tbl>
      <w:tblPr>
        <w:tblW w:w="8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4178D8" w14:paraId="75FAF229" w14:textId="77777777">
        <w:tc>
          <w:tcPr>
            <w:tcW w:w="1980" w:type="dxa"/>
            <w:vAlign w:val="center"/>
          </w:tcPr>
          <w:p w14:paraId="52D62D83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477B5BE9" w14:textId="03B2E9D4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903A17">
              <w:rPr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903A17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224FB9C3" w14:textId="1EB01235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594775"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27AC1270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01963E4" w14:textId="63B73CD0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03A17"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</w:p>
          <w:p w14:paraId="7463AC44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4178D8" w14:paraId="40175367" w14:textId="77777777">
        <w:trPr>
          <w:trHeight w:val="1008"/>
        </w:trPr>
        <w:tc>
          <w:tcPr>
            <w:tcW w:w="1980" w:type="dxa"/>
            <w:vAlign w:val="center"/>
          </w:tcPr>
          <w:p w14:paraId="4402124D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33" w:type="dxa"/>
            <w:vAlign w:val="center"/>
          </w:tcPr>
          <w:p w14:paraId="22597150" w14:textId="7E14367B" w:rsidR="00807A13" w:rsidRDefault="00594775" w:rsidP="008A3C4C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通过上</w:t>
            </w:r>
            <w:proofErr w:type="gramStart"/>
            <w:r>
              <w:rPr>
                <w:rFonts w:hint="eastAsia"/>
                <w:sz w:val="24"/>
                <w:szCs w:val="24"/>
              </w:rPr>
              <w:t>证路演中心</w:t>
            </w:r>
            <w:proofErr w:type="gramEnd"/>
            <w:r>
              <w:rPr>
                <w:rFonts w:hint="eastAsia"/>
                <w:sz w:val="24"/>
                <w:szCs w:val="24"/>
              </w:rPr>
              <w:t>网络互动平台参与公司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 w:rsidR="008A3C4C">
              <w:rPr>
                <w:rFonts w:hint="eastAsia"/>
                <w:sz w:val="24"/>
                <w:szCs w:val="24"/>
              </w:rPr>
              <w:t>5</w:t>
            </w:r>
            <w:r w:rsidR="000846DD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年度业绩说明会的投资者</w:t>
            </w:r>
          </w:p>
        </w:tc>
      </w:tr>
      <w:tr w:rsidR="004178D8" w14:paraId="05C9E87A" w14:textId="77777777">
        <w:tc>
          <w:tcPr>
            <w:tcW w:w="1980" w:type="dxa"/>
            <w:vAlign w:val="center"/>
          </w:tcPr>
          <w:p w14:paraId="5B418266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44BA9CAD" w14:textId="1B05C395" w:rsidR="004178D8" w:rsidRDefault="00903A17" w:rsidP="008A3C4C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CF1330">
              <w:rPr>
                <w:rFonts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107184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9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  <w:r w:rsidR="00594775">
              <w:rPr>
                <w:bCs/>
                <w:iCs/>
                <w:color w:val="000000"/>
                <w:sz w:val="24"/>
                <w:szCs w:val="24"/>
              </w:rPr>
              <w:t>-1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4178D8" w14:paraId="33EEAA6E" w14:textId="77777777">
        <w:tc>
          <w:tcPr>
            <w:tcW w:w="1980" w:type="dxa"/>
            <w:vAlign w:val="center"/>
          </w:tcPr>
          <w:p w14:paraId="650676BC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0A67A7EA" w14:textId="71D47378" w:rsidR="004178D8" w:rsidRDefault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中心（网址：</w:t>
            </w:r>
            <w:hyperlink r:id="rId8" w:history="1">
              <w:r>
                <w:rPr>
                  <w:rStyle w:val="a7"/>
                  <w:sz w:val="24"/>
                  <w:szCs w:val="24"/>
                </w:rPr>
                <w:t>http://roadshow.sseinfo.com/</w:t>
              </w:r>
            </w:hyperlink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4178D8" w14:paraId="094C0BD1" w14:textId="77777777">
        <w:trPr>
          <w:trHeight w:val="766"/>
        </w:trPr>
        <w:tc>
          <w:tcPr>
            <w:tcW w:w="1980" w:type="dxa"/>
            <w:vAlign w:val="center"/>
          </w:tcPr>
          <w:p w14:paraId="5D07D358" w14:textId="77777777" w:rsidR="004178D8" w:rsidRDefault="00903A17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57E52641" w14:textId="49068E43" w:rsidR="004178D8" w:rsidRDefault="00594775">
            <w:pPr>
              <w:widowControl/>
              <w:tabs>
                <w:tab w:val="left" w:pos="2940"/>
              </w:tabs>
              <w:spacing w:line="360" w:lineRule="auto"/>
              <w:rPr>
                <w:rFonts w:ascii="宋体"/>
                <w:sz w:val="24"/>
                <w:szCs w:val="24"/>
              </w:rPr>
            </w:pPr>
            <w:r w:rsidRPr="00C94137">
              <w:rPr>
                <w:rFonts w:ascii="宋体" w:hAnsi="宋体" w:hint="eastAsia"/>
                <w:sz w:val="24"/>
                <w:szCs w:val="24"/>
              </w:rPr>
              <w:t>公司董事长吴振国，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董事、总经理刘铁，独立董事</w:t>
            </w:r>
            <w:r>
              <w:rPr>
                <w:rFonts w:ascii="宋体" w:hAnsi="宋体" w:hint="eastAsia"/>
                <w:sz w:val="24"/>
                <w:szCs w:val="24"/>
              </w:rPr>
              <w:t>王晓亮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副总经理、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董事会秘书韩秋实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32729F">
              <w:rPr>
                <w:rFonts w:ascii="宋体" w:hAnsi="宋体" w:hint="eastAsia"/>
                <w:sz w:val="24"/>
                <w:szCs w:val="24"/>
              </w:rPr>
              <w:t>总会计师</w:t>
            </w:r>
            <w:r>
              <w:rPr>
                <w:rFonts w:ascii="宋体" w:hAnsi="宋体" w:hint="eastAsia"/>
                <w:sz w:val="24"/>
                <w:szCs w:val="24"/>
              </w:rPr>
              <w:t>郝瑛</w:t>
            </w:r>
          </w:p>
        </w:tc>
      </w:tr>
      <w:tr w:rsidR="004178D8" w14:paraId="0CDAEC08" w14:textId="77777777">
        <w:trPr>
          <w:trHeight w:val="274"/>
        </w:trPr>
        <w:tc>
          <w:tcPr>
            <w:tcW w:w="1980" w:type="dxa"/>
            <w:vAlign w:val="center"/>
          </w:tcPr>
          <w:p w14:paraId="147941AF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633" w:type="dxa"/>
          </w:tcPr>
          <w:p w14:paraId="6FCBBFC7" w14:textId="5162AC64" w:rsidR="008A3C4C" w:rsidRPr="008A3C4C" w:rsidRDefault="000846DD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1.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面对轨道交通装备向绿色化、智能化转型的趋势，以及动车组车轴等关键零部件的国产化替代浪潮，公司目前在‘新车型研发’或‘新能源化’方面有哪些具体的研发进展或技术储备？此外，面对东南亚等海外新兴市场的基建需求，公司在拓展国际业务、提升海外收入占比方面有哪些实质性举措？</w:t>
            </w:r>
          </w:p>
          <w:p w14:paraId="76891DAA" w14:textId="77777777" w:rsidR="008A3C4C" w:rsidRPr="008A3C4C" w:rsidRDefault="008A3C4C" w:rsidP="008A3C4C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尊敬的投资者您好，作为轨道交通装备制造行业的重要参与者，公司将积极主动跟进行业智能化、绿色化、国产化、国际化发展趋势，聚焦新一代轨道交通技术、新材料等重点领域，强化关键核心技术攻关，高质高效推进铁路货车、车轴等研发项目，加速成果转化与产业化运用。在国际业务方面，主动适配贸易环境变化，优化海外市场布局，在稳固北美、欧盟等传统市场的同时，积极开拓“一带一路”沿线及新兴市场，强化产品竞争力与品牌建设，提升全球化经营的抗风险能力。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感谢您的关注。</w:t>
            </w:r>
          </w:p>
          <w:p w14:paraId="1D5AA74E" w14:textId="283B3AE0" w:rsidR="008A3C4C" w:rsidRPr="008A3C4C" w:rsidRDefault="000846DD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报告期内公司经营性现金流净额增长了近九成，远高于净利润增速，请问这一增长的可持续性如何？同时，我们看到公司维持了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75%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的高比例分红，但也注意到净利润总额基数较低，未来在兼顾业务发展与股东回报方面，公司将采取怎样的分红策略？</w:t>
            </w:r>
          </w:p>
          <w:p w14:paraId="39D1285D" w14:textId="77777777" w:rsidR="008A3C4C" w:rsidRPr="008A3C4C" w:rsidRDefault="008A3C4C" w:rsidP="008A3C4C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尊敬的投资者您好，公司经营性现金流受主要产品交付时间及回款期限的影响，在不同报告期间会因具体业务执行情况有所波动，近年来持续保持正向净流入。分红方面，具体方案结合当年盈利状况、现金流量、资本开支计划等因素综合制定，公司将在持续提升经营业绩、优化经营性现金流的基础上，保持分红政策的连续性、稳定性和</w:t>
            </w:r>
            <w:proofErr w:type="gramStart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可</w:t>
            </w:r>
            <w:proofErr w:type="gramEnd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预期性，积极回馈全体股东。感谢您的关注。</w:t>
            </w:r>
          </w:p>
          <w:p w14:paraId="13E3CAE8" w14:textId="70F08926" w:rsidR="008A3C4C" w:rsidRPr="008A3C4C" w:rsidRDefault="000846DD" w:rsidP="008A3C4C">
            <w:pPr>
              <w:spacing w:line="360" w:lineRule="auto"/>
              <w:ind w:firstLineChars="200" w:firstLine="482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3.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请问管理层，在核心产品营收下滑的情况下，公司整体净利润增长的驱动因素是什么？剔除政府补助等非经常性损益后，主营业务实际的盈利情况如何？面对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2026</w:t>
            </w:r>
            <w:r w:rsidR="008A3C4C" w:rsidRPr="008A3C4C">
              <w:rPr>
                <w:rFonts w:hint="eastAsia"/>
                <w:b/>
                <w:bCs/>
                <w:iCs/>
                <w:color w:val="000000"/>
                <w:sz w:val="24"/>
                <w:szCs w:val="24"/>
              </w:rPr>
              <w:t>年，公司计划如何扭转核心产品收入下滑的趋势，具体的在手订单情况或新的业绩增长点在哪里？</w:t>
            </w:r>
          </w:p>
          <w:p w14:paraId="384DA71E" w14:textId="24EBDACF" w:rsidR="004178D8" w:rsidRPr="008A3C4C" w:rsidRDefault="008A3C4C" w:rsidP="008A3C4C">
            <w:pPr>
              <w:spacing w:line="360" w:lineRule="auto"/>
              <w:ind w:firstLineChars="200" w:firstLine="480"/>
              <w:rPr>
                <w:bCs/>
                <w:iCs/>
                <w:color w:val="000000"/>
                <w:sz w:val="24"/>
                <w:szCs w:val="24"/>
              </w:rPr>
            </w:pP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答：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年，公司通过优化生产节奏、开展降本增效、拓展非铁路产品业务（包括防务装备、</w:t>
            </w:r>
            <w:proofErr w:type="gramStart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</w:t>
            </w:r>
            <w:proofErr w:type="gramEnd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等）等系列举措，实现了整体净利润的</w:t>
            </w:r>
            <w:bookmarkStart w:id="0" w:name="_GoBack"/>
            <w:bookmarkEnd w:id="0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增长。扣除非经常性损益的净利润为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-385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万元，同比改善趋势明显。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2026</w:t>
            </w:r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年，公司将深化推进大客户定制化及潜在客户差异化营销策略，稳定提升市场份额与客户粘性，加快“一带一路”沿线及新兴市场开拓；优化产品结构，推动主导产品向规模化、系列化、高端化发展，提高</w:t>
            </w:r>
            <w:proofErr w:type="gramStart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高</w:t>
            </w:r>
            <w:proofErr w:type="gramEnd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附加值产品销售占比；加快防务装备和</w:t>
            </w:r>
            <w:proofErr w:type="gramStart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智慧消防</w:t>
            </w:r>
            <w:proofErr w:type="gramEnd"/>
            <w:r w:rsidRPr="008A3C4C">
              <w:rPr>
                <w:rFonts w:hint="eastAsia"/>
                <w:bCs/>
                <w:iCs/>
                <w:color w:val="000000"/>
                <w:sz w:val="24"/>
                <w:szCs w:val="24"/>
              </w:rPr>
              <w:t>应急装备等新业务板块市场拓展和项目落地，推动形成多元支撑、协同发展的业务格局。公司有信心实现经营的稳中有进。感谢您的关注。</w:t>
            </w:r>
          </w:p>
        </w:tc>
      </w:tr>
      <w:tr w:rsidR="004178D8" w14:paraId="433B46E3" w14:textId="77777777">
        <w:trPr>
          <w:trHeight w:val="726"/>
        </w:trPr>
        <w:tc>
          <w:tcPr>
            <w:tcW w:w="1980" w:type="dxa"/>
            <w:vAlign w:val="center"/>
          </w:tcPr>
          <w:p w14:paraId="6CC68301" w14:textId="77777777" w:rsidR="004178D8" w:rsidRDefault="00903A17">
            <w:pPr>
              <w:spacing w:line="360" w:lineRule="auto"/>
              <w:rPr>
                <w:rFonts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</w:t>
            </w:r>
            <w:r>
              <w:rPr>
                <w:rFonts w:hAnsi="宋体" w:hint="eastAsia"/>
                <w:b/>
                <w:bCs/>
                <w:iCs/>
                <w:color w:val="000000"/>
                <w:sz w:val="24"/>
              </w:rPr>
              <w:lastRenderedPageBreak/>
              <w:t>否涉及应当披露重大信息的说明</w:t>
            </w:r>
          </w:p>
        </w:tc>
        <w:tc>
          <w:tcPr>
            <w:tcW w:w="6633" w:type="dxa"/>
            <w:vAlign w:val="center"/>
          </w:tcPr>
          <w:p w14:paraId="7B0C5D9B" w14:textId="36EF34B1" w:rsidR="004178D8" w:rsidRDefault="00903A17" w:rsidP="00594775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本次</w:t>
            </w:r>
            <w:r w:rsidR="00594775">
              <w:rPr>
                <w:rFonts w:hint="eastAsia"/>
                <w:bCs/>
                <w:iCs/>
                <w:color w:val="000000"/>
                <w:sz w:val="24"/>
                <w:szCs w:val="24"/>
              </w:rPr>
              <w:t>业绩说明会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期间，公司不存在涉及任何应当披露重大信息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lastRenderedPageBreak/>
              <w:t>的情形。</w:t>
            </w:r>
          </w:p>
        </w:tc>
      </w:tr>
      <w:tr w:rsidR="004178D8" w14:paraId="73F35F4D" w14:textId="77777777">
        <w:trPr>
          <w:trHeight w:val="726"/>
        </w:trPr>
        <w:tc>
          <w:tcPr>
            <w:tcW w:w="1980" w:type="dxa"/>
            <w:vAlign w:val="center"/>
          </w:tcPr>
          <w:p w14:paraId="5415866D" w14:textId="77777777" w:rsidR="004178D8" w:rsidRDefault="00903A17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  <w:vAlign w:val="center"/>
          </w:tcPr>
          <w:p w14:paraId="31BC42CF" w14:textId="77777777" w:rsidR="004178D8" w:rsidRDefault="00903A17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61B38A91" w14:textId="77777777" w:rsidR="004178D8" w:rsidRDefault="004178D8">
      <w:pPr>
        <w:spacing w:line="560" w:lineRule="exact"/>
        <w:ind w:firstLineChars="1700" w:firstLine="5440"/>
        <w:outlineLvl w:val="0"/>
        <w:rPr>
          <w:rFonts w:ascii="仿宋_GB2312" w:eastAsia="仿宋_GB2312"/>
          <w:sz w:val="32"/>
          <w:szCs w:val="32"/>
        </w:rPr>
      </w:pPr>
    </w:p>
    <w:sectPr w:rsidR="00417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EBAD7" w14:textId="77777777" w:rsidR="009E3ACF" w:rsidRDefault="009E3ACF" w:rsidP="005A549F">
      <w:r>
        <w:separator/>
      </w:r>
    </w:p>
  </w:endnote>
  <w:endnote w:type="continuationSeparator" w:id="0">
    <w:p w14:paraId="22BD6EEB" w14:textId="77777777" w:rsidR="009E3ACF" w:rsidRDefault="009E3ACF" w:rsidP="005A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44733" w14:textId="77777777" w:rsidR="009E3ACF" w:rsidRDefault="009E3ACF" w:rsidP="005A549F">
      <w:r>
        <w:separator/>
      </w:r>
    </w:p>
  </w:footnote>
  <w:footnote w:type="continuationSeparator" w:id="0">
    <w:p w14:paraId="2EDD2C90" w14:textId="77777777" w:rsidR="009E3ACF" w:rsidRDefault="009E3ACF" w:rsidP="005A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476B9C"/>
    <w:rsid w:val="00006FDD"/>
    <w:rsid w:val="0002222C"/>
    <w:rsid w:val="000323EC"/>
    <w:rsid w:val="00032476"/>
    <w:rsid w:val="000379A5"/>
    <w:rsid w:val="00043326"/>
    <w:rsid w:val="000500D5"/>
    <w:rsid w:val="00065ECB"/>
    <w:rsid w:val="00071070"/>
    <w:rsid w:val="000846DD"/>
    <w:rsid w:val="00093158"/>
    <w:rsid w:val="000E02A5"/>
    <w:rsid w:val="000E15C9"/>
    <w:rsid w:val="00104F57"/>
    <w:rsid w:val="00107184"/>
    <w:rsid w:val="00115CB4"/>
    <w:rsid w:val="001501BC"/>
    <w:rsid w:val="00164BFE"/>
    <w:rsid w:val="00170B8E"/>
    <w:rsid w:val="001749A5"/>
    <w:rsid w:val="00193B49"/>
    <w:rsid w:val="00195593"/>
    <w:rsid w:val="001B79E6"/>
    <w:rsid w:val="001E1DB4"/>
    <w:rsid w:val="001E5D31"/>
    <w:rsid w:val="00202540"/>
    <w:rsid w:val="00223013"/>
    <w:rsid w:val="0022703C"/>
    <w:rsid w:val="00234EB1"/>
    <w:rsid w:val="00237070"/>
    <w:rsid w:val="0023733D"/>
    <w:rsid w:val="002631BC"/>
    <w:rsid w:val="002776BA"/>
    <w:rsid w:val="00284270"/>
    <w:rsid w:val="0028499C"/>
    <w:rsid w:val="002878BF"/>
    <w:rsid w:val="002A4251"/>
    <w:rsid w:val="002D61D3"/>
    <w:rsid w:val="002E6FC7"/>
    <w:rsid w:val="002F0345"/>
    <w:rsid w:val="003154C8"/>
    <w:rsid w:val="003275B9"/>
    <w:rsid w:val="00340698"/>
    <w:rsid w:val="00352BE2"/>
    <w:rsid w:val="003A1748"/>
    <w:rsid w:val="003C1E32"/>
    <w:rsid w:val="003C6B24"/>
    <w:rsid w:val="003D2746"/>
    <w:rsid w:val="003E21C6"/>
    <w:rsid w:val="003E228E"/>
    <w:rsid w:val="003E69D4"/>
    <w:rsid w:val="00412B68"/>
    <w:rsid w:val="004178D8"/>
    <w:rsid w:val="00431594"/>
    <w:rsid w:val="00465AA5"/>
    <w:rsid w:val="0047016C"/>
    <w:rsid w:val="00476B9C"/>
    <w:rsid w:val="0049063C"/>
    <w:rsid w:val="00491959"/>
    <w:rsid w:val="00493E43"/>
    <w:rsid w:val="004C619C"/>
    <w:rsid w:val="004D470D"/>
    <w:rsid w:val="004D7F26"/>
    <w:rsid w:val="005005B9"/>
    <w:rsid w:val="00511F2D"/>
    <w:rsid w:val="005247D0"/>
    <w:rsid w:val="0052500A"/>
    <w:rsid w:val="005377EC"/>
    <w:rsid w:val="005446D8"/>
    <w:rsid w:val="00545AE6"/>
    <w:rsid w:val="00546421"/>
    <w:rsid w:val="00546CD7"/>
    <w:rsid w:val="005552AD"/>
    <w:rsid w:val="0056308C"/>
    <w:rsid w:val="00565E7E"/>
    <w:rsid w:val="005842B2"/>
    <w:rsid w:val="005875E5"/>
    <w:rsid w:val="00594775"/>
    <w:rsid w:val="00597089"/>
    <w:rsid w:val="005A2162"/>
    <w:rsid w:val="005A549F"/>
    <w:rsid w:val="005B0311"/>
    <w:rsid w:val="005E77BC"/>
    <w:rsid w:val="005F62E4"/>
    <w:rsid w:val="00603311"/>
    <w:rsid w:val="00657C3C"/>
    <w:rsid w:val="006712C3"/>
    <w:rsid w:val="00692BFC"/>
    <w:rsid w:val="00694C36"/>
    <w:rsid w:val="006B0DE1"/>
    <w:rsid w:val="006C0A6E"/>
    <w:rsid w:val="006E1475"/>
    <w:rsid w:val="00731156"/>
    <w:rsid w:val="00733F0C"/>
    <w:rsid w:val="007403A2"/>
    <w:rsid w:val="00757CF6"/>
    <w:rsid w:val="00791465"/>
    <w:rsid w:val="00796DEF"/>
    <w:rsid w:val="007B2681"/>
    <w:rsid w:val="007D57F4"/>
    <w:rsid w:val="007D67D5"/>
    <w:rsid w:val="007E1EEF"/>
    <w:rsid w:val="0080431B"/>
    <w:rsid w:val="008051E6"/>
    <w:rsid w:val="00807A13"/>
    <w:rsid w:val="00810254"/>
    <w:rsid w:val="00812D62"/>
    <w:rsid w:val="00816138"/>
    <w:rsid w:val="008308BE"/>
    <w:rsid w:val="0083546C"/>
    <w:rsid w:val="0085308A"/>
    <w:rsid w:val="00855246"/>
    <w:rsid w:val="008631D7"/>
    <w:rsid w:val="008744D2"/>
    <w:rsid w:val="00877342"/>
    <w:rsid w:val="00882D3B"/>
    <w:rsid w:val="00883092"/>
    <w:rsid w:val="00885016"/>
    <w:rsid w:val="0089134E"/>
    <w:rsid w:val="008A3C4C"/>
    <w:rsid w:val="008B2D16"/>
    <w:rsid w:val="008B50FA"/>
    <w:rsid w:val="00903A17"/>
    <w:rsid w:val="0091583B"/>
    <w:rsid w:val="00920CA6"/>
    <w:rsid w:val="009502D9"/>
    <w:rsid w:val="009556F3"/>
    <w:rsid w:val="00961280"/>
    <w:rsid w:val="009759F2"/>
    <w:rsid w:val="00976A42"/>
    <w:rsid w:val="00977898"/>
    <w:rsid w:val="00997BF6"/>
    <w:rsid w:val="009A4274"/>
    <w:rsid w:val="009A7961"/>
    <w:rsid w:val="009B29CD"/>
    <w:rsid w:val="009B4432"/>
    <w:rsid w:val="009B536D"/>
    <w:rsid w:val="009C3802"/>
    <w:rsid w:val="009C393C"/>
    <w:rsid w:val="009E2765"/>
    <w:rsid w:val="009E2804"/>
    <w:rsid w:val="009E3ACF"/>
    <w:rsid w:val="00A14C54"/>
    <w:rsid w:val="00A44792"/>
    <w:rsid w:val="00A811C4"/>
    <w:rsid w:val="00A94FAF"/>
    <w:rsid w:val="00AA77F7"/>
    <w:rsid w:val="00AF2DE4"/>
    <w:rsid w:val="00AF5A83"/>
    <w:rsid w:val="00AF6CB8"/>
    <w:rsid w:val="00B04198"/>
    <w:rsid w:val="00B12FE8"/>
    <w:rsid w:val="00B22452"/>
    <w:rsid w:val="00B33A36"/>
    <w:rsid w:val="00B4635B"/>
    <w:rsid w:val="00B620E4"/>
    <w:rsid w:val="00B626D0"/>
    <w:rsid w:val="00B65D45"/>
    <w:rsid w:val="00B7172C"/>
    <w:rsid w:val="00B739C2"/>
    <w:rsid w:val="00B81927"/>
    <w:rsid w:val="00B919B4"/>
    <w:rsid w:val="00BB0F2F"/>
    <w:rsid w:val="00BC4982"/>
    <w:rsid w:val="00BD1538"/>
    <w:rsid w:val="00BD7379"/>
    <w:rsid w:val="00BE0723"/>
    <w:rsid w:val="00BF698F"/>
    <w:rsid w:val="00C021F6"/>
    <w:rsid w:val="00C16F05"/>
    <w:rsid w:val="00C20CCA"/>
    <w:rsid w:val="00C20D0A"/>
    <w:rsid w:val="00C220F3"/>
    <w:rsid w:val="00C47ACD"/>
    <w:rsid w:val="00C87630"/>
    <w:rsid w:val="00CA56DA"/>
    <w:rsid w:val="00CB467B"/>
    <w:rsid w:val="00CB5099"/>
    <w:rsid w:val="00CC051D"/>
    <w:rsid w:val="00CC4925"/>
    <w:rsid w:val="00CD7FBC"/>
    <w:rsid w:val="00CE0213"/>
    <w:rsid w:val="00CF1330"/>
    <w:rsid w:val="00CF241B"/>
    <w:rsid w:val="00CF5311"/>
    <w:rsid w:val="00D06FFF"/>
    <w:rsid w:val="00D26A2F"/>
    <w:rsid w:val="00D57D61"/>
    <w:rsid w:val="00D602E5"/>
    <w:rsid w:val="00D649C2"/>
    <w:rsid w:val="00D70C33"/>
    <w:rsid w:val="00D975D3"/>
    <w:rsid w:val="00DC44C4"/>
    <w:rsid w:val="00DC450D"/>
    <w:rsid w:val="00E02F92"/>
    <w:rsid w:val="00E2649B"/>
    <w:rsid w:val="00E30177"/>
    <w:rsid w:val="00E40607"/>
    <w:rsid w:val="00E62F6B"/>
    <w:rsid w:val="00E913B2"/>
    <w:rsid w:val="00EA1281"/>
    <w:rsid w:val="00EA3CF2"/>
    <w:rsid w:val="00EB1190"/>
    <w:rsid w:val="00ED104A"/>
    <w:rsid w:val="00EF0019"/>
    <w:rsid w:val="00F36942"/>
    <w:rsid w:val="00F91FD0"/>
    <w:rsid w:val="00FC06FB"/>
    <w:rsid w:val="00FC2FD0"/>
    <w:rsid w:val="00FD47DC"/>
    <w:rsid w:val="00FF77D4"/>
    <w:rsid w:val="2E5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Hyperlink"/>
    <w:rPr>
      <w:color w:val="0000FF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adshow.sseinfo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C47E8C-1A13-4759-B2FB-AD1FE0C3149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233</Words>
  <Characters>1331</Characters>
  <Application>Microsoft Office Word</Application>
  <DocSecurity>0</DocSecurity>
  <Lines>11</Lines>
  <Paragraphs>3</Paragraphs>
  <ScaleCrop>false</ScaleCrop>
  <Company>china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于凡</cp:lastModifiedBy>
  <cp:revision>174</cp:revision>
  <cp:lastPrinted>2023-04-14T08:21:00Z</cp:lastPrinted>
  <dcterms:created xsi:type="dcterms:W3CDTF">2022-09-01T02:57:00Z</dcterms:created>
  <dcterms:modified xsi:type="dcterms:W3CDTF">2026-04-17T08:55:00Z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eyJoZGlkIjoiOWZiMDA1MDBkNzAyNTlkNjFjNTA2OTZmYzliMDZhZWMifQ==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408C9BD8F0BF4832880E6F951A875750_12</vt:lpwstr>
  </property>
</Properties>
</file>