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51465" w14:textId="77777777" w:rsidR="00994450" w:rsidRDefault="003958E2">
      <w:pPr>
        <w:spacing w:line="360" w:lineRule="auto"/>
        <w:rPr>
          <w:bCs/>
          <w:iCs/>
          <w:color w:val="000000"/>
          <w:sz w:val="24"/>
        </w:rPr>
      </w:pPr>
      <w:r>
        <w:rPr>
          <w:rFonts w:hAnsi="宋体"/>
          <w:bCs/>
          <w:iCs/>
          <w:color w:val="000000"/>
          <w:sz w:val="24"/>
        </w:rPr>
        <w:t>证券代码：</w:t>
      </w:r>
      <w:r>
        <w:rPr>
          <w:rFonts w:hAnsi="宋体" w:hint="eastAsia"/>
          <w:bCs/>
          <w:iCs/>
          <w:color w:val="000000"/>
          <w:sz w:val="24"/>
        </w:rPr>
        <w:t>60049</w:t>
      </w:r>
      <w:r>
        <w:rPr>
          <w:rFonts w:hAnsi="宋体"/>
          <w:bCs/>
          <w:iCs/>
          <w:color w:val="000000"/>
          <w:sz w:val="24"/>
        </w:rPr>
        <w:t xml:space="preserve">5     </w:t>
      </w:r>
      <w:r>
        <w:rPr>
          <w:bCs/>
          <w:iCs/>
          <w:color w:val="000000"/>
          <w:sz w:val="24"/>
        </w:rPr>
        <w:t xml:space="preserve">                              </w:t>
      </w:r>
      <w:r>
        <w:rPr>
          <w:rFonts w:hAnsi="宋体"/>
          <w:bCs/>
          <w:iCs/>
          <w:color w:val="000000"/>
          <w:sz w:val="24"/>
        </w:rPr>
        <w:t>证券简称：</w:t>
      </w:r>
      <w:r>
        <w:rPr>
          <w:rFonts w:hAnsi="宋体" w:hint="eastAsia"/>
          <w:bCs/>
          <w:iCs/>
          <w:color w:val="000000"/>
          <w:sz w:val="24"/>
        </w:rPr>
        <w:t>晋西车轴</w:t>
      </w:r>
    </w:p>
    <w:p w14:paraId="4B3CCE05" w14:textId="77777777" w:rsidR="00994450" w:rsidRDefault="003958E2">
      <w:pPr>
        <w:spacing w:line="360" w:lineRule="auto"/>
        <w:jc w:val="center"/>
        <w:rPr>
          <w:rFonts w:hAnsi="宋体"/>
          <w:b/>
          <w:bCs/>
          <w:iCs/>
          <w:color w:val="000000"/>
          <w:sz w:val="32"/>
          <w:szCs w:val="32"/>
        </w:rPr>
      </w:pPr>
      <w:r>
        <w:rPr>
          <w:rFonts w:hAnsi="宋体" w:hint="eastAsia"/>
          <w:b/>
          <w:bCs/>
          <w:iCs/>
          <w:color w:val="000000"/>
          <w:sz w:val="32"/>
          <w:szCs w:val="32"/>
        </w:rPr>
        <w:t>晋西车轴股份有限公司</w:t>
      </w:r>
    </w:p>
    <w:p w14:paraId="155D9367" w14:textId="77777777" w:rsidR="00994450" w:rsidRDefault="003958E2">
      <w:pPr>
        <w:spacing w:line="360" w:lineRule="auto"/>
        <w:jc w:val="center"/>
        <w:rPr>
          <w:rFonts w:hAnsi="宋体"/>
          <w:b/>
          <w:bCs/>
          <w:iCs/>
          <w:color w:val="000000"/>
          <w:sz w:val="32"/>
          <w:szCs w:val="32"/>
        </w:rPr>
      </w:pPr>
      <w:r>
        <w:rPr>
          <w:rFonts w:hAnsi="宋体"/>
          <w:b/>
          <w:bCs/>
          <w:iCs/>
          <w:color w:val="000000"/>
          <w:sz w:val="32"/>
          <w:szCs w:val="32"/>
        </w:rPr>
        <w:t>投资者关系活动记录表</w:t>
      </w:r>
    </w:p>
    <w:p w14:paraId="7EC04397" w14:textId="77777777" w:rsidR="00994450" w:rsidRDefault="003958E2">
      <w:pPr>
        <w:spacing w:line="360" w:lineRule="auto"/>
        <w:jc w:val="center"/>
        <w:rPr>
          <w:bCs/>
          <w:iCs/>
          <w:color w:val="000000"/>
          <w:sz w:val="24"/>
          <w:szCs w:val="32"/>
        </w:rPr>
      </w:pPr>
      <w:r>
        <w:rPr>
          <w:rFonts w:hAnsi="宋体" w:hint="eastAsia"/>
          <w:b/>
          <w:bCs/>
          <w:iCs/>
          <w:color w:val="000000"/>
          <w:sz w:val="32"/>
          <w:szCs w:val="32"/>
        </w:rPr>
        <w:t xml:space="preserve"> </w:t>
      </w:r>
      <w:r>
        <w:rPr>
          <w:rFonts w:hAnsi="宋体"/>
          <w:b/>
          <w:bCs/>
          <w:iCs/>
          <w:color w:val="000000"/>
          <w:sz w:val="32"/>
          <w:szCs w:val="32"/>
        </w:rPr>
        <w:t xml:space="preserve">                                       </w:t>
      </w:r>
      <w:r>
        <w:rPr>
          <w:rFonts w:hAnsi="宋体" w:hint="eastAsia"/>
          <w:bCs/>
          <w:iCs/>
          <w:color w:val="000000"/>
          <w:sz w:val="24"/>
          <w:szCs w:val="32"/>
        </w:rPr>
        <w:t>编号：</w:t>
      </w:r>
      <w:r>
        <w:rPr>
          <w:rFonts w:hAnsi="宋体"/>
          <w:bCs/>
          <w:iCs/>
          <w:color w:val="000000"/>
          <w:sz w:val="24"/>
          <w:szCs w:val="32"/>
        </w:rPr>
        <w:t>202</w:t>
      </w:r>
      <w:r>
        <w:rPr>
          <w:rFonts w:hAnsi="宋体" w:hint="eastAsia"/>
          <w:bCs/>
          <w:iCs/>
          <w:color w:val="000000"/>
          <w:sz w:val="24"/>
          <w:szCs w:val="32"/>
        </w:rPr>
        <w:t>6-001</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994450" w14:paraId="75FAF229" w14:textId="77777777">
        <w:tc>
          <w:tcPr>
            <w:tcW w:w="1980" w:type="dxa"/>
            <w:vAlign w:val="center"/>
          </w:tcPr>
          <w:p w14:paraId="52D62D83" w14:textId="77777777" w:rsidR="00994450" w:rsidRDefault="003958E2">
            <w:pPr>
              <w:spacing w:line="360" w:lineRule="auto"/>
              <w:jc w:val="center"/>
              <w:rPr>
                <w:b/>
                <w:bCs/>
                <w:iCs/>
                <w:color w:val="000000"/>
                <w:sz w:val="24"/>
              </w:rPr>
            </w:pPr>
            <w:r>
              <w:rPr>
                <w:rFonts w:hAnsi="宋体"/>
                <w:b/>
                <w:bCs/>
                <w:iCs/>
                <w:color w:val="000000"/>
                <w:sz w:val="24"/>
              </w:rPr>
              <w:t>投资者关系活动类别</w:t>
            </w:r>
          </w:p>
        </w:tc>
        <w:tc>
          <w:tcPr>
            <w:tcW w:w="6633" w:type="dxa"/>
          </w:tcPr>
          <w:p w14:paraId="477B5BE9" w14:textId="77777777" w:rsidR="00994450" w:rsidRDefault="003958E2">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特定对象调研</w:t>
            </w:r>
            <w:r>
              <w:rPr>
                <w:bCs/>
                <w:iCs/>
                <w:color w:val="000000"/>
                <w:sz w:val="24"/>
                <w:szCs w:val="24"/>
              </w:rPr>
              <w:t xml:space="preserve">        </w:t>
            </w:r>
            <w:r>
              <w:rPr>
                <w:rFonts w:ascii="宋体" w:hAnsi="宋体" w:hint="eastAsia"/>
                <w:bCs/>
                <w:iCs/>
                <w:color w:val="000000"/>
                <w:sz w:val="24"/>
                <w:szCs w:val="24"/>
              </w:rPr>
              <w:t>□</w:t>
            </w:r>
            <w:r>
              <w:rPr>
                <w:rFonts w:hAnsi="宋体"/>
                <w:bCs/>
                <w:iCs/>
                <w:color w:val="000000"/>
                <w:sz w:val="24"/>
                <w:szCs w:val="24"/>
              </w:rPr>
              <w:t>分析师会议</w:t>
            </w:r>
          </w:p>
          <w:p w14:paraId="224FB9C3" w14:textId="77777777" w:rsidR="00994450" w:rsidRDefault="003958E2">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Pr>
                <w:rFonts w:ascii="宋体" w:hAnsi="宋体" w:hint="eastAsia"/>
                <w:bCs/>
                <w:iCs/>
                <w:color w:val="000000"/>
                <w:sz w:val="24"/>
                <w:szCs w:val="24"/>
              </w:rPr>
              <w:t>□</w:t>
            </w:r>
            <w:r>
              <w:rPr>
                <w:rFonts w:hAnsi="宋体"/>
                <w:bCs/>
                <w:iCs/>
                <w:color w:val="000000"/>
                <w:sz w:val="24"/>
                <w:szCs w:val="24"/>
              </w:rPr>
              <w:t>业绩说明会</w:t>
            </w:r>
          </w:p>
          <w:p w14:paraId="27AC1270" w14:textId="77777777" w:rsidR="00994450" w:rsidRDefault="003958E2">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Pr>
                <w:rFonts w:ascii="宋体" w:hAnsi="宋体" w:hint="eastAsia"/>
                <w:bCs/>
                <w:iCs/>
                <w:color w:val="000000"/>
                <w:sz w:val="24"/>
                <w:szCs w:val="24"/>
              </w:rPr>
              <w:t>□</w:t>
            </w:r>
            <w:r>
              <w:rPr>
                <w:rFonts w:hAnsi="宋体"/>
                <w:bCs/>
                <w:iCs/>
                <w:color w:val="000000"/>
                <w:sz w:val="24"/>
                <w:szCs w:val="24"/>
              </w:rPr>
              <w:t>路演活动</w:t>
            </w:r>
          </w:p>
          <w:p w14:paraId="301963E4" w14:textId="77777777" w:rsidR="00994450" w:rsidRDefault="003958E2">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现场参观</w:t>
            </w:r>
          </w:p>
          <w:p w14:paraId="7463AC44" w14:textId="77777777" w:rsidR="00994450" w:rsidRDefault="003958E2">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其他</w:t>
            </w:r>
          </w:p>
        </w:tc>
      </w:tr>
      <w:tr w:rsidR="00994450" w14:paraId="40175367" w14:textId="77777777">
        <w:trPr>
          <w:trHeight w:val="1008"/>
        </w:trPr>
        <w:tc>
          <w:tcPr>
            <w:tcW w:w="1980" w:type="dxa"/>
            <w:vAlign w:val="center"/>
          </w:tcPr>
          <w:p w14:paraId="4402124D" w14:textId="77777777" w:rsidR="00994450" w:rsidRDefault="003958E2">
            <w:pPr>
              <w:spacing w:line="360" w:lineRule="auto"/>
              <w:jc w:val="center"/>
              <w:rPr>
                <w:b/>
                <w:bCs/>
                <w:iCs/>
                <w:color w:val="000000"/>
                <w:sz w:val="24"/>
              </w:rPr>
            </w:pPr>
            <w:r>
              <w:rPr>
                <w:rFonts w:hAnsi="宋体"/>
                <w:b/>
                <w:bCs/>
                <w:iCs/>
                <w:color w:val="000000"/>
                <w:sz w:val="24"/>
              </w:rPr>
              <w:t>参与单位名称及人员姓名</w:t>
            </w:r>
          </w:p>
        </w:tc>
        <w:tc>
          <w:tcPr>
            <w:tcW w:w="6633" w:type="dxa"/>
            <w:vAlign w:val="center"/>
          </w:tcPr>
          <w:p w14:paraId="22597150" w14:textId="77777777" w:rsidR="00994450" w:rsidRDefault="003958E2">
            <w:pPr>
              <w:widowControl/>
              <w:tabs>
                <w:tab w:val="left" w:pos="2940"/>
              </w:tabs>
              <w:spacing w:line="360" w:lineRule="auto"/>
              <w:rPr>
                <w:sz w:val="24"/>
                <w:szCs w:val="24"/>
              </w:rPr>
            </w:pPr>
            <w:bookmarkStart w:id="0" w:name="OLE_LINK1"/>
            <w:bookmarkStart w:id="1" w:name="OLE_LINK2"/>
            <w:r>
              <w:rPr>
                <w:rFonts w:hint="eastAsia"/>
                <w:sz w:val="24"/>
                <w:szCs w:val="24"/>
              </w:rPr>
              <w:t>泉</w:t>
            </w:r>
            <w:proofErr w:type="gramStart"/>
            <w:r>
              <w:rPr>
                <w:rFonts w:hint="eastAsia"/>
                <w:sz w:val="24"/>
                <w:szCs w:val="24"/>
              </w:rPr>
              <w:t>鸣资本王</w:t>
            </w:r>
            <w:proofErr w:type="gramEnd"/>
            <w:r>
              <w:rPr>
                <w:rFonts w:hint="eastAsia"/>
                <w:sz w:val="24"/>
                <w:szCs w:val="24"/>
              </w:rPr>
              <w:t>立全、维港证券</w:t>
            </w:r>
            <w:bookmarkEnd w:id="0"/>
            <w:bookmarkEnd w:id="1"/>
            <w:r>
              <w:rPr>
                <w:rFonts w:hint="eastAsia"/>
                <w:sz w:val="24"/>
                <w:szCs w:val="24"/>
              </w:rPr>
              <w:t>蒋政</w:t>
            </w:r>
          </w:p>
        </w:tc>
      </w:tr>
      <w:tr w:rsidR="00994450" w14:paraId="05C9E87A" w14:textId="77777777">
        <w:tc>
          <w:tcPr>
            <w:tcW w:w="1980" w:type="dxa"/>
            <w:vAlign w:val="center"/>
          </w:tcPr>
          <w:p w14:paraId="5B418266" w14:textId="77777777" w:rsidR="00994450" w:rsidRDefault="003958E2">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6633" w:type="dxa"/>
          </w:tcPr>
          <w:p w14:paraId="44BA9CAD" w14:textId="62E2922B" w:rsidR="00994450" w:rsidRDefault="003958E2">
            <w:pPr>
              <w:spacing w:line="360" w:lineRule="auto"/>
              <w:rPr>
                <w:bCs/>
                <w:iCs/>
                <w:color w:val="000000"/>
                <w:sz w:val="24"/>
                <w:szCs w:val="24"/>
              </w:rPr>
            </w:pPr>
            <w:r>
              <w:rPr>
                <w:rFonts w:hint="eastAsia"/>
                <w:bCs/>
                <w:iCs/>
                <w:color w:val="000000"/>
                <w:sz w:val="24"/>
                <w:szCs w:val="24"/>
              </w:rPr>
              <w:t>2026</w:t>
            </w:r>
            <w:r>
              <w:rPr>
                <w:rFonts w:hint="eastAsia"/>
                <w:bCs/>
                <w:iCs/>
                <w:color w:val="000000"/>
                <w:sz w:val="24"/>
                <w:szCs w:val="24"/>
              </w:rPr>
              <w:t>年</w:t>
            </w:r>
            <w:r w:rsidR="00832EFB">
              <w:rPr>
                <w:rFonts w:hint="eastAsia"/>
                <w:bCs/>
                <w:iCs/>
                <w:color w:val="000000"/>
                <w:sz w:val="24"/>
                <w:szCs w:val="24"/>
              </w:rPr>
              <w:t>0</w:t>
            </w:r>
            <w:r>
              <w:rPr>
                <w:rFonts w:hint="eastAsia"/>
                <w:bCs/>
                <w:iCs/>
                <w:color w:val="000000"/>
                <w:sz w:val="24"/>
                <w:szCs w:val="24"/>
              </w:rPr>
              <w:t>4</w:t>
            </w:r>
            <w:r>
              <w:rPr>
                <w:rFonts w:hint="eastAsia"/>
                <w:bCs/>
                <w:iCs/>
                <w:color w:val="000000"/>
                <w:sz w:val="24"/>
                <w:szCs w:val="24"/>
              </w:rPr>
              <w:t>月</w:t>
            </w:r>
            <w:r>
              <w:rPr>
                <w:rFonts w:hint="eastAsia"/>
                <w:bCs/>
                <w:iCs/>
                <w:color w:val="000000"/>
                <w:sz w:val="24"/>
                <w:szCs w:val="24"/>
              </w:rPr>
              <w:t>16</w:t>
            </w:r>
            <w:r>
              <w:rPr>
                <w:rFonts w:hint="eastAsia"/>
                <w:bCs/>
                <w:iCs/>
                <w:color w:val="000000"/>
                <w:sz w:val="24"/>
                <w:szCs w:val="24"/>
              </w:rPr>
              <w:t>日</w:t>
            </w:r>
            <w:r>
              <w:rPr>
                <w:rFonts w:hint="eastAsia"/>
                <w:bCs/>
                <w:iCs/>
                <w:color w:val="000000"/>
                <w:sz w:val="24"/>
                <w:szCs w:val="24"/>
              </w:rPr>
              <w:t>14:30</w:t>
            </w:r>
            <w:r>
              <w:rPr>
                <w:bCs/>
                <w:iCs/>
                <w:color w:val="000000"/>
                <w:sz w:val="24"/>
                <w:szCs w:val="24"/>
              </w:rPr>
              <w:t>-1</w:t>
            </w:r>
            <w:r>
              <w:rPr>
                <w:rFonts w:hint="eastAsia"/>
                <w:bCs/>
                <w:iCs/>
                <w:color w:val="000000"/>
                <w:sz w:val="24"/>
                <w:szCs w:val="24"/>
              </w:rPr>
              <w:t>6:30</w:t>
            </w:r>
          </w:p>
        </w:tc>
      </w:tr>
      <w:tr w:rsidR="00994450" w14:paraId="33EEAA6E" w14:textId="77777777">
        <w:tc>
          <w:tcPr>
            <w:tcW w:w="1980" w:type="dxa"/>
            <w:vAlign w:val="center"/>
          </w:tcPr>
          <w:p w14:paraId="650676BC" w14:textId="77777777" w:rsidR="00994450" w:rsidRDefault="003958E2">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6633" w:type="dxa"/>
          </w:tcPr>
          <w:p w14:paraId="0A67A7EA" w14:textId="77777777" w:rsidR="00994450" w:rsidRDefault="003958E2">
            <w:pPr>
              <w:spacing w:line="360" w:lineRule="auto"/>
              <w:rPr>
                <w:bCs/>
                <w:iCs/>
                <w:color w:val="000000"/>
                <w:sz w:val="24"/>
                <w:szCs w:val="24"/>
              </w:rPr>
            </w:pPr>
            <w:r>
              <w:rPr>
                <w:rFonts w:hint="eastAsia"/>
                <w:bCs/>
                <w:iCs/>
                <w:color w:val="000000"/>
                <w:sz w:val="24"/>
                <w:szCs w:val="24"/>
              </w:rPr>
              <w:t>公司会议室</w:t>
            </w:r>
          </w:p>
        </w:tc>
      </w:tr>
      <w:tr w:rsidR="00994450" w14:paraId="094C0BD1" w14:textId="77777777">
        <w:trPr>
          <w:trHeight w:val="766"/>
        </w:trPr>
        <w:tc>
          <w:tcPr>
            <w:tcW w:w="1980" w:type="dxa"/>
            <w:vAlign w:val="center"/>
          </w:tcPr>
          <w:p w14:paraId="5D07D358" w14:textId="77777777" w:rsidR="00994450" w:rsidRDefault="003958E2">
            <w:pPr>
              <w:spacing w:line="360" w:lineRule="auto"/>
              <w:jc w:val="center"/>
              <w:rPr>
                <w:b/>
                <w:bCs/>
                <w:iCs/>
                <w:color w:val="000000"/>
                <w:sz w:val="24"/>
              </w:rPr>
            </w:pPr>
            <w:r>
              <w:rPr>
                <w:rFonts w:hAnsi="宋体"/>
                <w:b/>
                <w:bCs/>
                <w:iCs/>
                <w:color w:val="000000"/>
                <w:sz w:val="24"/>
              </w:rPr>
              <w:t>上市公司接待人员姓名</w:t>
            </w:r>
          </w:p>
        </w:tc>
        <w:tc>
          <w:tcPr>
            <w:tcW w:w="6633" w:type="dxa"/>
            <w:vAlign w:val="center"/>
          </w:tcPr>
          <w:p w14:paraId="6F34A962" w14:textId="77777777" w:rsidR="00994450" w:rsidRDefault="003958E2">
            <w:pPr>
              <w:widowControl/>
              <w:tabs>
                <w:tab w:val="left" w:pos="2940"/>
              </w:tabs>
              <w:spacing w:line="360" w:lineRule="auto"/>
              <w:rPr>
                <w:rFonts w:ascii="宋体"/>
                <w:sz w:val="24"/>
                <w:szCs w:val="24"/>
              </w:rPr>
            </w:pPr>
            <w:r>
              <w:rPr>
                <w:rFonts w:ascii="宋体" w:hint="eastAsia"/>
                <w:sz w:val="24"/>
                <w:szCs w:val="24"/>
              </w:rPr>
              <w:t>副总经理、董事会秘书</w:t>
            </w:r>
            <w:r>
              <w:rPr>
                <w:rFonts w:ascii="宋体" w:hint="eastAsia"/>
                <w:sz w:val="24"/>
                <w:szCs w:val="24"/>
              </w:rPr>
              <w:t xml:space="preserve"> </w:t>
            </w:r>
            <w:r>
              <w:rPr>
                <w:rFonts w:ascii="宋体" w:hint="eastAsia"/>
                <w:sz w:val="24"/>
                <w:szCs w:val="24"/>
              </w:rPr>
              <w:t>韩秋实</w:t>
            </w:r>
          </w:p>
          <w:p w14:paraId="52530C90" w14:textId="77777777" w:rsidR="00994450" w:rsidRDefault="003958E2">
            <w:pPr>
              <w:widowControl/>
              <w:tabs>
                <w:tab w:val="left" w:pos="2940"/>
              </w:tabs>
              <w:spacing w:line="360" w:lineRule="auto"/>
              <w:rPr>
                <w:rFonts w:ascii="宋体"/>
                <w:sz w:val="24"/>
                <w:szCs w:val="24"/>
              </w:rPr>
            </w:pPr>
            <w:r>
              <w:rPr>
                <w:rFonts w:ascii="宋体" w:hint="eastAsia"/>
                <w:sz w:val="24"/>
                <w:szCs w:val="24"/>
              </w:rPr>
              <w:t>证券事务代表、证券</w:t>
            </w:r>
            <w:proofErr w:type="gramStart"/>
            <w:r>
              <w:rPr>
                <w:rFonts w:ascii="宋体" w:hint="eastAsia"/>
                <w:sz w:val="24"/>
                <w:szCs w:val="24"/>
              </w:rPr>
              <w:t>部</w:t>
            </w:r>
            <w:proofErr w:type="gramEnd"/>
            <w:r>
              <w:rPr>
                <w:rFonts w:ascii="宋体" w:hint="eastAsia"/>
                <w:sz w:val="24"/>
                <w:szCs w:val="24"/>
              </w:rPr>
              <w:t>部长</w:t>
            </w:r>
            <w:r>
              <w:rPr>
                <w:rFonts w:ascii="宋体" w:hint="eastAsia"/>
                <w:sz w:val="24"/>
                <w:szCs w:val="24"/>
              </w:rPr>
              <w:t xml:space="preserve"> </w:t>
            </w:r>
            <w:r>
              <w:rPr>
                <w:rFonts w:ascii="宋体" w:hint="eastAsia"/>
                <w:sz w:val="24"/>
                <w:szCs w:val="24"/>
              </w:rPr>
              <w:t>高虹</w:t>
            </w:r>
          </w:p>
          <w:p w14:paraId="57E52641" w14:textId="77777777" w:rsidR="00994450" w:rsidRDefault="003958E2">
            <w:pPr>
              <w:widowControl/>
              <w:tabs>
                <w:tab w:val="left" w:pos="2940"/>
              </w:tabs>
              <w:spacing w:line="360" w:lineRule="auto"/>
              <w:rPr>
                <w:rFonts w:ascii="宋体" w:hAnsi="宋体"/>
                <w:sz w:val="24"/>
                <w:szCs w:val="24"/>
              </w:rPr>
            </w:pPr>
            <w:r>
              <w:rPr>
                <w:rFonts w:ascii="宋体" w:hint="eastAsia"/>
                <w:sz w:val="24"/>
                <w:szCs w:val="24"/>
              </w:rPr>
              <w:t>证券部副部长</w:t>
            </w:r>
            <w:r>
              <w:rPr>
                <w:rFonts w:ascii="宋体" w:hint="eastAsia"/>
                <w:sz w:val="24"/>
                <w:szCs w:val="24"/>
              </w:rPr>
              <w:t xml:space="preserve"> </w:t>
            </w:r>
            <w:r>
              <w:rPr>
                <w:rFonts w:ascii="宋体" w:hint="eastAsia"/>
                <w:sz w:val="24"/>
                <w:szCs w:val="24"/>
              </w:rPr>
              <w:t>于凡</w:t>
            </w:r>
          </w:p>
        </w:tc>
      </w:tr>
      <w:tr w:rsidR="00994450" w14:paraId="0CDAEC08" w14:textId="77777777">
        <w:trPr>
          <w:trHeight w:val="274"/>
        </w:trPr>
        <w:tc>
          <w:tcPr>
            <w:tcW w:w="1980" w:type="dxa"/>
            <w:vAlign w:val="center"/>
          </w:tcPr>
          <w:p w14:paraId="147941AF" w14:textId="77777777" w:rsidR="00994450" w:rsidRDefault="003958E2">
            <w:pPr>
              <w:spacing w:line="360" w:lineRule="auto"/>
              <w:rPr>
                <w:b/>
                <w:bCs/>
                <w:iCs/>
                <w:color w:val="000000"/>
                <w:sz w:val="24"/>
              </w:rPr>
            </w:pPr>
            <w:r>
              <w:rPr>
                <w:rFonts w:hAnsi="宋体"/>
                <w:b/>
                <w:bCs/>
                <w:iCs/>
                <w:color w:val="000000"/>
                <w:sz w:val="24"/>
              </w:rPr>
              <w:t>投资者关系活动主要内容介绍</w:t>
            </w:r>
          </w:p>
        </w:tc>
        <w:tc>
          <w:tcPr>
            <w:tcW w:w="6633" w:type="dxa"/>
          </w:tcPr>
          <w:p w14:paraId="07FAE1C2"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1.</w:t>
            </w:r>
            <w:r>
              <w:rPr>
                <w:rFonts w:hint="eastAsia"/>
                <w:b/>
                <w:bCs/>
                <w:iCs/>
                <w:color w:val="000000"/>
                <w:sz w:val="24"/>
                <w:szCs w:val="24"/>
              </w:rPr>
              <w:t>公司在轨道交通装备产业链中有什么核心竞争优势？介绍下公司未来铁路装备和新兴业务的发展战略？</w:t>
            </w:r>
          </w:p>
          <w:p w14:paraId="3EB37C0F" w14:textId="77777777" w:rsidR="00994450" w:rsidRDefault="003958E2">
            <w:pPr>
              <w:spacing w:line="360" w:lineRule="auto"/>
              <w:ind w:firstLineChars="250" w:firstLine="600"/>
              <w:rPr>
                <w:bCs/>
                <w:iCs/>
                <w:color w:val="000000"/>
                <w:sz w:val="24"/>
                <w:szCs w:val="24"/>
              </w:rPr>
            </w:pPr>
            <w:r>
              <w:rPr>
                <w:rFonts w:hint="eastAsia"/>
                <w:bCs/>
                <w:iCs/>
                <w:color w:val="000000"/>
                <w:sz w:val="24"/>
                <w:szCs w:val="24"/>
              </w:rPr>
              <w:t>答：公司在轨道交通装备产业链中的核心竞争优势，一是具备全产业链协同优势，拥有从车轴、轮对、摇枕侧架、转向架到整车集成的完整产业链，核心部件</w:t>
            </w:r>
            <w:proofErr w:type="gramStart"/>
            <w:r>
              <w:rPr>
                <w:rFonts w:hint="eastAsia"/>
                <w:bCs/>
                <w:iCs/>
                <w:color w:val="000000"/>
                <w:sz w:val="24"/>
                <w:szCs w:val="24"/>
              </w:rPr>
              <w:t>自配套</w:t>
            </w:r>
            <w:proofErr w:type="gramEnd"/>
            <w:r>
              <w:rPr>
                <w:rFonts w:hint="eastAsia"/>
                <w:bCs/>
                <w:iCs/>
                <w:color w:val="000000"/>
                <w:sz w:val="24"/>
                <w:szCs w:val="24"/>
              </w:rPr>
              <w:t>能力强，成本和质量可控性高；二是</w:t>
            </w:r>
            <w:r>
              <w:rPr>
                <w:rFonts w:hint="eastAsia"/>
                <w:bCs/>
                <w:iCs/>
                <w:color w:val="000000"/>
                <w:sz w:val="24"/>
                <w:szCs w:val="24"/>
              </w:rPr>
              <w:t>车轴产品</w:t>
            </w:r>
            <w:r>
              <w:rPr>
                <w:rFonts w:hint="eastAsia"/>
                <w:bCs/>
                <w:iCs/>
                <w:color w:val="000000"/>
                <w:sz w:val="24"/>
                <w:szCs w:val="24"/>
              </w:rPr>
              <w:t>具备定制化研发生产能力，能够按照全球不同国家和地区标准开展专业化定制研发与生产，满足国内外客户多元化、高品质、高标准的产品需求；三是集中供货能力突出，能够快速响应客户订单变化，交付周期具有竞争力。</w:t>
            </w:r>
          </w:p>
          <w:p w14:paraId="06AB2837"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公司未来将加快构建“轨道交通装备产业与新兴产业双轮驱动、双主业协同发展”的新格局，其中：轨道交通装备主业</w:t>
            </w:r>
            <w:r>
              <w:rPr>
                <w:rFonts w:hint="eastAsia"/>
                <w:bCs/>
                <w:iCs/>
                <w:color w:val="000000"/>
                <w:sz w:val="24"/>
                <w:szCs w:val="24"/>
              </w:rPr>
              <w:lastRenderedPageBreak/>
              <w:t>是公司的“基本盘”，公司将持续做</w:t>
            </w:r>
            <w:proofErr w:type="gramStart"/>
            <w:r>
              <w:rPr>
                <w:rFonts w:hint="eastAsia"/>
                <w:bCs/>
                <w:iCs/>
                <w:color w:val="000000"/>
                <w:sz w:val="24"/>
                <w:szCs w:val="24"/>
              </w:rPr>
              <w:t>强做</w:t>
            </w:r>
            <w:proofErr w:type="gramEnd"/>
            <w:r>
              <w:rPr>
                <w:rFonts w:hint="eastAsia"/>
                <w:bCs/>
                <w:iCs/>
                <w:color w:val="000000"/>
                <w:sz w:val="24"/>
                <w:szCs w:val="24"/>
              </w:rPr>
              <w:t>优，铁路车轴领域持续巩固行业领先地位，铁路车辆领域保持差异化竞争力；防务装备与</w:t>
            </w:r>
            <w:proofErr w:type="gramStart"/>
            <w:r>
              <w:rPr>
                <w:rFonts w:hint="eastAsia"/>
                <w:bCs/>
                <w:iCs/>
                <w:color w:val="000000"/>
                <w:sz w:val="24"/>
                <w:szCs w:val="24"/>
              </w:rPr>
              <w:t>智慧消防</w:t>
            </w:r>
            <w:proofErr w:type="gramEnd"/>
            <w:r>
              <w:rPr>
                <w:rFonts w:hint="eastAsia"/>
                <w:bCs/>
                <w:iCs/>
                <w:color w:val="000000"/>
                <w:sz w:val="24"/>
                <w:szCs w:val="24"/>
              </w:rPr>
              <w:t>应急装备等新业务作为“新赛道”，是公司培育新质生产力、打造“第二增长曲线”的战略方向，将</w:t>
            </w:r>
            <w:r>
              <w:rPr>
                <w:rFonts w:hint="eastAsia"/>
                <w:bCs/>
                <w:iCs/>
                <w:color w:val="000000"/>
                <w:sz w:val="24"/>
                <w:szCs w:val="24"/>
              </w:rPr>
              <w:t>逐步实现与现有轨道交通装备主业的均衡发展，增强整体抗风险能力和可持续发展能力。</w:t>
            </w:r>
          </w:p>
          <w:p w14:paraId="6F327482"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2.</w:t>
            </w:r>
            <w:r>
              <w:rPr>
                <w:rFonts w:hint="eastAsia"/>
                <w:b/>
                <w:bCs/>
                <w:iCs/>
                <w:color w:val="000000"/>
                <w:sz w:val="24"/>
                <w:szCs w:val="24"/>
              </w:rPr>
              <w:t>公司分红比例很高，但分红金额较小，管理层对提升每</w:t>
            </w:r>
            <w:proofErr w:type="gramStart"/>
            <w:r>
              <w:rPr>
                <w:rFonts w:hint="eastAsia"/>
                <w:b/>
                <w:bCs/>
                <w:iCs/>
                <w:color w:val="000000"/>
                <w:sz w:val="24"/>
                <w:szCs w:val="24"/>
              </w:rPr>
              <w:t>股分</w:t>
            </w:r>
            <w:proofErr w:type="gramEnd"/>
            <w:r>
              <w:rPr>
                <w:rFonts w:hint="eastAsia"/>
                <w:b/>
                <w:bCs/>
                <w:iCs/>
                <w:color w:val="000000"/>
                <w:sz w:val="24"/>
                <w:szCs w:val="24"/>
              </w:rPr>
              <w:t>红绝对水平有何规划？是否有股权激励或员工持股计划？</w:t>
            </w:r>
          </w:p>
          <w:p w14:paraId="7DAC97B5"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答：公司结合当年盈利状况、现金流量、资本开支计划等因素综合制定具体</w:t>
            </w:r>
            <w:r>
              <w:rPr>
                <w:rFonts w:hint="eastAsia"/>
                <w:bCs/>
                <w:iCs/>
                <w:color w:val="000000"/>
                <w:sz w:val="24"/>
                <w:szCs w:val="24"/>
              </w:rPr>
              <w:t>分红</w:t>
            </w:r>
            <w:r>
              <w:rPr>
                <w:rFonts w:hint="eastAsia"/>
                <w:bCs/>
                <w:iCs/>
                <w:color w:val="000000"/>
                <w:sz w:val="24"/>
                <w:szCs w:val="24"/>
              </w:rPr>
              <w:t>方案。</w:t>
            </w:r>
            <w:r>
              <w:rPr>
                <w:rFonts w:hint="eastAsia"/>
                <w:bCs/>
                <w:iCs/>
                <w:color w:val="000000"/>
                <w:sz w:val="24"/>
                <w:szCs w:val="24"/>
              </w:rPr>
              <w:t>未来</w:t>
            </w:r>
            <w:r>
              <w:rPr>
                <w:rFonts w:hint="eastAsia"/>
                <w:bCs/>
                <w:iCs/>
                <w:color w:val="000000"/>
                <w:sz w:val="24"/>
                <w:szCs w:val="24"/>
              </w:rPr>
              <w:t>将在持续提升经营业绩、优化经营性现金流的基础上，保持稳定、可持续的利润分配政策，积极</w:t>
            </w:r>
            <w:r>
              <w:rPr>
                <w:rFonts w:hint="eastAsia"/>
                <w:bCs/>
                <w:iCs/>
                <w:color w:val="000000"/>
                <w:sz w:val="24"/>
                <w:szCs w:val="24"/>
              </w:rPr>
              <w:t>提升给全体</w:t>
            </w:r>
            <w:r>
              <w:rPr>
                <w:rFonts w:hint="eastAsia"/>
                <w:bCs/>
                <w:iCs/>
                <w:color w:val="000000"/>
                <w:sz w:val="24"/>
                <w:szCs w:val="24"/>
              </w:rPr>
              <w:t>股东</w:t>
            </w:r>
            <w:r>
              <w:rPr>
                <w:rFonts w:hint="eastAsia"/>
                <w:bCs/>
                <w:iCs/>
                <w:color w:val="000000"/>
                <w:sz w:val="24"/>
                <w:szCs w:val="24"/>
              </w:rPr>
              <w:t>的</w:t>
            </w:r>
            <w:r>
              <w:rPr>
                <w:rFonts w:hint="eastAsia"/>
                <w:bCs/>
                <w:iCs/>
                <w:color w:val="000000"/>
                <w:sz w:val="24"/>
                <w:szCs w:val="24"/>
              </w:rPr>
              <w:t>回报水平</w:t>
            </w:r>
            <w:r>
              <w:rPr>
                <w:rFonts w:hint="eastAsia"/>
                <w:bCs/>
                <w:iCs/>
                <w:color w:val="000000"/>
                <w:sz w:val="24"/>
                <w:szCs w:val="24"/>
              </w:rPr>
              <w:t>。目前暂无股权激励及员工持股计划。</w:t>
            </w:r>
          </w:p>
          <w:p w14:paraId="66B77C62"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3.</w:t>
            </w:r>
            <w:r>
              <w:rPr>
                <w:rFonts w:hint="eastAsia"/>
                <w:b/>
                <w:bCs/>
                <w:iCs/>
                <w:color w:val="000000"/>
                <w:sz w:val="24"/>
                <w:szCs w:val="24"/>
              </w:rPr>
              <w:t>公司车轴产品市场需求主要是新造增量还是存量维修更换？毛利率是否有进一步提升空间？</w:t>
            </w:r>
          </w:p>
          <w:p w14:paraId="30A58173"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w:t>
            </w:r>
            <w:r>
              <w:rPr>
                <w:rFonts w:hint="eastAsia"/>
                <w:bCs/>
                <w:iCs/>
                <w:color w:val="000000"/>
                <w:sz w:val="24"/>
                <w:szCs w:val="24"/>
              </w:rPr>
              <w:t>国内铁路货车用</w:t>
            </w:r>
            <w:proofErr w:type="gramStart"/>
            <w:r>
              <w:rPr>
                <w:rFonts w:hint="eastAsia"/>
                <w:bCs/>
                <w:iCs/>
                <w:color w:val="000000"/>
                <w:sz w:val="24"/>
                <w:szCs w:val="24"/>
              </w:rPr>
              <w:t>轴保持</w:t>
            </w:r>
            <w:proofErr w:type="gramEnd"/>
            <w:r>
              <w:rPr>
                <w:rFonts w:hint="eastAsia"/>
                <w:bCs/>
                <w:iCs/>
                <w:color w:val="000000"/>
                <w:sz w:val="24"/>
                <w:szCs w:val="24"/>
              </w:rPr>
              <w:t>新造增量需求和存量维修更换需求并存的格局；</w:t>
            </w:r>
            <w:proofErr w:type="gramStart"/>
            <w:r>
              <w:rPr>
                <w:rFonts w:hint="eastAsia"/>
                <w:bCs/>
                <w:iCs/>
                <w:color w:val="000000"/>
                <w:sz w:val="24"/>
                <w:szCs w:val="24"/>
              </w:rPr>
              <w:t>城轨地铁</w:t>
            </w:r>
            <w:proofErr w:type="gramEnd"/>
            <w:r>
              <w:rPr>
                <w:rFonts w:hint="eastAsia"/>
                <w:bCs/>
                <w:iCs/>
                <w:color w:val="000000"/>
                <w:sz w:val="24"/>
                <w:szCs w:val="24"/>
              </w:rPr>
              <w:t>用车轴、出口车轴产品等以新造需求为主。</w:t>
            </w:r>
            <w:r>
              <w:rPr>
                <w:rFonts w:hint="eastAsia"/>
                <w:bCs/>
                <w:iCs/>
                <w:color w:val="000000"/>
                <w:sz w:val="24"/>
                <w:szCs w:val="24"/>
              </w:rPr>
              <w:t>公司将持续优化产品结构，积极拓展高速动车组车轴、机车车轴等高端轴类产品市场，提高</w:t>
            </w:r>
            <w:proofErr w:type="gramStart"/>
            <w:r>
              <w:rPr>
                <w:rFonts w:hint="eastAsia"/>
                <w:bCs/>
                <w:iCs/>
                <w:color w:val="000000"/>
                <w:sz w:val="24"/>
                <w:szCs w:val="24"/>
              </w:rPr>
              <w:t>高</w:t>
            </w:r>
            <w:proofErr w:type="gramEnd"/>
            <w:r>
              <w:rPr>
                <w:rFonts w:hint="eastAsia"/>
                <w:bCs/>
                <w:iCs/>
                <w:color w:val="000000"/>
                <w:sz w:val="24"/>
                <w:szCs w:val="24"/>
              </w:rPr>
              <w:t>附加值产品占比，推动车轴产品毛利率水平提升。</w:t>
            </w:r>
          </w:p>
          <w:p w14:paraId="30BA379C"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4.</w:t>
            </w:r>
            <w:r>
              <w:rPr>
                <w:rFonts w:hint="eastAsia"/>
                <w:b/>
                <w:bCs/>
                <w:iCs/>
                <w:color w:val="000000"/>
                <w:sz w:val="24"/>
                <w:szCs w:val="24"/>
              </w:rPr>
              <w:t>公司铁路车辆整车毛利率较上年有明显改善，具体原因是什么？</w:t>
            </w:r>
            <w:r>
              <w:rPr>
                <w:rFonts w:hint="eastAsia"/>
                <w:b/>
                <w:bCs/>
                <w:iCs/>
                <w:color w:val="000000"/>
                <w:sz w:val="24"/>
                <w:szCs w:val="24"/>
              </w:rPr>
              <w:t>预计</w:t>
            </w:r>
            <w:r>
              <w:rPr>
                <w:rFonts w:hint="eastAsia"/>
                <w:b/>
                <w:bCs/>
                <w:iCs/>
                <w:color w:val="000000"/>
                <w:sz w:val="24"/>
                <w:szCs w:val="24"/>
              </w:rPr>
              <w:t>2026</w:t>
            </w:r>
            <w:r>
              <w:rPr>
                <w:rFonts w:hint="eastAsia"/>
                <w:b/>
                <w:bCs/>
                <w:iCs/>
                <w:color w:val="000000"/>
                <w:sz w:val="24"/>
                <w:szCs w:val="24"/>
              </w:rPr>
              <w:t>年能否实现增长</w:t>
            </w:r>
            <w:r>
              <w:rPr>
                <w:rFonts w:hint="eastAsia"/>
                <w:b/>
                <w:bCs/>
                <w:iCs/>
                <w:color w:val="000000"/>
                <w:sz w:val="24"/>
                <w:szCs w:val="24"/>
              </w:rPr>
              <w:t>？</w:t>
            </w:r>
          </w:p>
          <w:p w14:paraId="0B122396" w14:textId="7402CCA2" w:rsidR="00994450" w:rsidRDefault="003958E2">
            <w:pPr>
              <w:spacing w:line="360" w:lineRule="auto"/>
              <w:ind w:firstLineChars="200" w:firstLine="480"/>
              <w:rPr>
                <w:bCs/>
                <w:iCs/>
                <w:color w:val="000000"/>
                <w:sz w:val="24"/>
                <w:szCs w:val="24"/>
              </w:rPr>
            </w:pPr>
            <w:r>
              <w:rPr>
                <w:rFonts w:hint="eastAsia"/>
                <w:bCs/>
                <w:iCs/>
                <w:color w:val="000000"/>
                <w:sz w:val="24"/>
                <w:szCs w:val="24"/>
              </w:rPr>
              <w:t>答：</w:t>
            </w:r>
            <w:r>
              <w:rPr>
                <w:rFonts w:hint="eastAsia"/>
                <w:bCs/>
                <w:iCs/>
                <w:color w:val="000000"/>
                <w:sz w:val="24"/>
                <w:szCs w:val="24"/>
              </w:rPr>
              <w:t>2025</w:t>
            </w:r>
            <w:r>
              <w:rPr>
                <w:rFonts w:hint="eastAsia"/>
                <w:bCs/>
                <w:iCs/>
                <w:color w:val="000000"/>
                <w:sz w:val="24"/>
                <w:szCs w:val="24"/>
              </w:rPr>
              <w:t>年，公司</w:t>
            </w:r>
            <w:r>
              <w:rPr>
                <w:rFonts w:hint="eastAsia"/>
                <w:bCs/>
                <w:iCs/>
                <w:color w:val="000000"/>
                <w:sz w:val="24"/>
                <w:szCs w:val="24"/>
              </w:rPr>
              <w:t>主要</w:t>
            </w:r>
            <w:r>
              <w:rPr>
                <w:rFonts w:hint="eastAsia"/>
                <w:bCs/>
                <w:iCs/>
                <w:color w:val="000000"/>
                <w:sz w:val="24"/>
                <w:szCs w:val="24"/>
              </w:rPr>
              <w:t>通过优化铁路车辆产品生产节奏、开展降本增效等措施，产品单位成本下降，带动毛利率水平提高。</w:t>
            </w:r>
            <w:r w:rsidRPr="00832EFB">
              <w:rPr>
                <w:rFonts w:hint="eastAsia"/>
                <w:bCs/>
                <w:iCs/>
                <w:color w:val="000000"/>
                <w:sz w:val="24"/>
                <w:szCs w:val="24"/>
              </w:rPr>
              <w:t>公司制定的</w:t>
            </w:r>
            <w:r w:rsidRPr="00832EFB">
              <w:rPr>
                <w:rFonts w:hint="eastAsia"/>
                <w:bCs/>
                <w:iCs/>
                <w:color w:val="000000"/>
                <w:sz w:val="24"/>
                <w:szCs w:val="24"/>
              </w:rPr>
              <w:t>2026</w:t>
            </w:r>
            <w:r w:rsidRPr="00832EFB">
              <w:rPr>
                <w:rFonts w:hint="eastAsia"/>
                <w:bCs/>
                <w:iCs/>
                <w:color w:val="000000"/>
                <w:sz w:val="24"/>
                <w:szCs w:val="24"/>
              </w:rPr>
              <w:t>年铁路货车销售目标为</w:t>
            </w:r>
            <w:r w:rsidRPr="00832EFB">
              <w:rPr>
                <w:rFonts w:hint="eastAsia"/>
                <w:bCs/>
                <w:iCs/>
                <w:color w:val="000000"/>
                <w:sz w:val="24"/>
                <w:szCs w:val="24"/>
              </w:rPr>
              <w:t>1</w:t>
            </w:r>
            <w:r w:rsidR="00753E15">
              <w:rPr>
                <w:rFonts w:hint="eastAsia"/>
                <w:bCs/>
                <w:iCs/>
                <w:color w:val="000000"/>
                <w:sz w:val="24"/>
                <w:szCs w:val="24"/>
              </w:rPr>
              <w:t>,</w:t>
            </w:r>
            <w:r w:rsidRPr="00832EFB">
              <w:rPr>
                <w:rFonts w:hint="eastAsia"/>
                <w:bCs/>
                <w:iCs/>
                <w:color w:val="000000"/>
                <w:sz w:val="24"/>
                <w:szCs w:val="24"/>
              </w:rPr>
              <w:t>700</w:t>
            </w:r>
            <w:r w:rsidRPr="00832EFB">
              <w:rPr>
                <w:rFonts w:hint="eastAsia"/>
                <w:bCs/>
                <w:iCs/>
                <w:color w:val="000000"/>
                <w:sz w:val="24"/>
                <w:szCs w:val="24"/>
              </w:rPr>
              <w:t>辆</w:t>
            </w:r>
            <w:r w:rsidRPr="00832EFB">
              <w:rPr>
                <w:rFonts w:hint="eastAsia"/>
                <w:bCs/>
                <w:iCs/>
                <w:color w:val="000000"/>
                <w:sz w:val="24"/>
                <w:szCs w:val="24"/>
              </w:rPr>
              <w:t>，较</w:t>
            </w:r>
            <w:r w:rsidRPr="00832EFB">
              <w:rPr>
                <w:rFonts w:hint="eastAsia"/>
                <w:bCs/>
                <w:iCs/>
                <w:color w:val="000000"/>
                <w:sz w:val="24"/>
                <w:szCs w:val="24"/>
              </w:rPr>
              <w:t>2025</w:t>
            </w:r>
            <w:r w:rsidRPr="00832EFB">
              <w:rPr>
                <w:rFonts w:hint="eastAsia"/>
                <w:bCs/>
                <w:iCs/>
                <w:color w:val="000000"/>
                <w:sz w:val="24"/>
                <w:szCs w:val="24"/>
              </w:rPr>
              <w:t>年销量增长约</w:t>
            </w:r>
            <w:r w:rsidRPr="00832EFB">
              <w:rPr>
                <w:rFonts w:hint="eastAsia"/>
                <w:bCs/>
                <w:iCs/>
                <w:color w:val="000000"/>
                <w:sz w:val="24"/>
                <w:szCs w:val="24"/>
              </w:rPr>
              <w:t>15%</w:t>
            </w:r>
            <w:r w:rsidRPr="00832EFB">
              <w:rPr>
                <w:rFonts w:hint="eastAsia"/>
                <w:bCs/>
                <w:iCs/>
                <w:color w:val="000000"/>
                <w:sz w:val="24"/>
                <w:szCs w:val="24"/>
              </w:rPr>
              <w:t>。</w:t>
            </w:r>
            <w:r w:rsidRPr="00832EFB">
              <w:rPr>
                <w:rFonts w:hint="eastAsia"/>
                <w:bCs/>
                <w:iCs/>
                <w:color w:val="000000"/>
                <w:sz w:val="24"/>
                <w:szCs w:val="24"/>
              </w:rPr>
              <w:t>依据目前的市场信息和已落实的订单情况，公司有信心完成年度目标。</w:t>
            </w:r>
          </w:p>
          <w:p w14:paraId="51EBE558"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5</w:t>
            </w:r>
            <w:r>
              <w:rPr>
                <w:rFonts w:hint="eastAsia"/>
                <w:b/>
                <w:bCs/>
                <w:iCs/>
                <w:color w:val="000000"/>
                <w:sz w:val="24"/>
                <w:szCs w:val="24"/>
              </w:rPr>
              <w:t>.</w:t>
            </w:r>
            <w:r>
              <w:rPr>
                <w:rFonts w:hint="eastAsia"/>
                <w:b/>
                <w:bCs/>
                <w:iCs/>
                <w:color w:val="000000"/>
                <w:sz w:val="24"/>
                <w:szCs w:val="24"/>
              </w:rPr>
              <w:t>公司前五大客户合计销售占比</w:t>
            </w:r>
            <w:r>
              <w:rPr>
                <w:rFonts w:hint="eastAsia"/>
                <w:b/>
                <w:bCs/>
                <w:iCs/>
                <w:color w:val="000000"/>
                <w:sz w:val="24"/>
                <w:szCs w:val="24"/>
              </w:rPr>
              <w:t>87.76%</w:t>
            </w:r>
            <w:r>
              <w:rPr>
                <w:rFonts w:hint="eastAsia"/>
                <w:b/>
                <w:bCs/>
                <w:iCs/>
                <w:color w:val="000000"/>
                <w:sz w:val="24"/>
                <w:szCs w:val="24"/>
              </w:rPr>
              <w:t>，集中度较高，</w:t>
            </w:r>
            <w:r>
              <w:rPr>
                <w:rFonts w:hint="eastAsia"/>
                <w:b/>
                <w:bCs/>
                <w:iCs/>
                <w:color w:val="000000"/>
                <w:sz w:val="24"/>
                <w:szCs w:val="24"/>
              </w:rPr>
              <w:lastRenderedPageBreak/>
              <w:t>公司有何风险应对措施？</w:t>
            </w:r>
          </w:p>
          <w:p w14:paraId="61CA2F1E"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答：客户集中度较高是轨道交通装备行业的普遍特征，国内外龙头企业占据了主要市场份额，公司在发展过程中与这些核心客户形成了长期稳定的战略合作关系。在巩固核心客户关系</w:t>
            </w:r>
            <w:r>
              <w:rPr>
                <w:rFonts w:hint="eastAsia"/>
                <w:bCs/>
                <w:iCs/>
                <w:color w:val="000000"/>
                <w:sz w:val="24"/>
                <w:szCs w:val="24"/>
              </w:rPr>
              <w:t>、</w:t>
            </w:r>
            <w:r>
              <w:rPr>
                <w:rFonts w:hint="eastAsia"/>
                <w:bCs/>
                <w:iCs/>
                <w:color w:val="000000"/>
                <w:sz w:val="24"/>
                <w:szCs w:val="24"/>
              </w:rPr>
              <w:t>提升合作深度的</w:t>
            </w:r>
            <w:r>
              <w:rPr>
                <w:rFonts w:hint="eastAsia"/>
                <w:bCs/>
                <w:iCs/>
                <w:color w:val="000000"/>
                <w:sz w:val="24"/>
                <w:szCs w:val="24"/>
              </w:rPr>
              <w:t>同时</w:t>
            </w:r>
            <w:r>
              <w:rPr>
                <w:rFonts w:hint="eastAsia"/>
                <w:bCs/>
                <w:iCs/>
                <w:color w:val="000000"/>
                <w:sz w:val="24"/>
                <w:szCs w:val="24"/>
              </w:rPr>
              <w:t>，</w:t>
            </w:r>
            <w:r>
              <w:rPr>
                <w:rFonts w:hint="eastAsia"/>
                <w:bCs/>
                <w:iCs/>
                <w:color w:val="000000"/>
                <w:sz w:val="24"/>
                <w:szCs w:val="24"/>
              </w:rPr>
              <w:t>公司也在通过</w:t>
            </w:r>
            <w:r>
              <w:rPr>
                <w:rFonts w:hint="eastAsia"/>
                <w:bCs/>
                <w:iCs/>
                <w:color w:val="000000"/>
                <w:sz w:val="24"/>
                <w:szCs w:val="24"/>
              </w:rPr>
              <w:t>积极拓展新</w:t>
            </w:r>
            <w:r>
              <w:rPr>
                <w:rFonts w:hint="eastAsia"/>
                <w:bCs/>
                <w:iCs/>
                <w:color w:val="000000"/>
                <w:sz w:val="24"/>
                <w:szCs w:val="24"/>
              </w:rPr>
              <w:t>的</w:t>
            </w:r>
            <w:r>
              <w:rPr>
                <w:rFonts w:hint="eastAsia"/>
                <w:bCs/>
                <w:iCs/>
                <w:color w:val="000000"/>
                <w:sz w:val="24"/>
                <w:szCs w:val="24"/>
              </w:rPr>
              <w:t>业务</w:t>
            </w:r>
            <w:r>
              <w:rPr>
                <w:rFonts w:hint="eastAsia"/>
                <w:bCs/>
                <w:iCs/>
                <w:color w:val="000000"/>
                <w:sz w:val="24"/>
                <w:szCs w:val="24"/>
              </w:rPr>
              <w:t>和新的市场</w:t>
            </w:r>
            <w:r>
              <w:rPr>
                <w:rFonts w:hint="eastAsia"/>
                <w:bCs/>
                <w:iCs/>
                <w:color w:val="000000"/>
                <w:sz w:val="24"/>
                <w:szCs w:val="24"/>
              </w:rPr>
              <w:t>领域</w:t>
            </w:r>
            <w:r>
              <w:rPr>
                <w:rFonts w:hint="eastAsia"/>
                <w:bCs/>
                <w:iCs/>
                <w:color w:val="000000"/>
                <w:sz w:val="24"/>
                <w:szCs w:val="24"/>
              </w:rPr>
              <w:t>，</w:t>
            </w:r>
            <w:r>
              <w:rPr>
                <w:rFonts w:hint="eastAsia"/>
                <w:bCs/>
                <w:iCs/>
                <w:color w:val="000000"/>
                <w:sz w:val="24"/>
                <w:szCs w:val="24"/>
              </w:rPr>
              <w:t>培育多元增长极，不断丰富客户资源，增强抗风险能力。</w:t>
            </w:r>
          </w:p>
          <w:p w14:paraId="247E7D0C"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6.</w:t>
            </w:r>
            <w:r>
              <w:rPr>
                <w:rFonts w:hint="eastAsia"/>
                <w:b/>
                <w:bCs/>
                <w:iCs/>
                <w:color w:val="000000"/>
                <w:sz w:val="24"/>
                <w:szCs w:val="24"/>
              </w:rPr>
              <w:t>公司已取得时速</w:t>
            </w:r>
            <w:r>
              <w:rPr>
                <w:rFonts w:hint="eastAsia"/>
                <w:b/>
                <w:bCs/>
                <w:iCs/>
                <w:color w:val="000000"/>
                <w:sz w:val="24"/>
                <w:szCs w:val="24"/>
              </w:rPr>
              <w:t>350</w:t>
            </w:r>
            <w:r>
              <w:rPr>
                <w:rFonts w:hint="eastAsia"/>
                <w:b/>
                <w:bCs/>
                <w:iCs/>
                <w:color w:val="000000"/>
                <w:sz w:val="24"/>
                <w:szCs w:val="24"/>
              </w:rPr>
              <w:t>公里高速动车组车轴生产资质，目前供</w:t>
            </w:r>
            <w:r>
              <w:rPr>
                <w:rFonts w:hint="eastAsia"/>
                <w:b/>
                <w:bCs/>
                <w:iCs/>
                <w:color w:val="000000"/>
                <w:sz w:val="24"/>
                <w:szCs w:val="24"/>
              </w:rPr>
              <w:t>货情况如何？有没有新的订单？</w:t>
            </w:r>
          </w:p>
          <w:p w14:paraId="75885296"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答：公司</w:t>
            </w:r>
            <w:r>
              <w:rPr>
                <w:rFonts w:hint="eastAsia"/>
                <w:bCs/>
                <w:iCs/>
                <w:color w:val="000000"/>
                <w:sz w:val="24"/>
                <w:szCs w:val="24"/>
              </w:rPr>
              <w:t>2025</w:t>
            </w:r>
            <w:r>
              <w:rPr>
                <w:rFonts w:hint="eastAsia"/>
                <w:bCs/>
                <w:iCs/>
                <w:color w:val="000000"/>
                <w:sz w:val="24"/>
                <w:szCs w:val="24"/>
              </w:rPr>
              <w:t>年实现时速</w:t>
            </w:r>
            <w:r>
              <w:rPr>
                <w:rFonts w:hint="eastAsia"/>
                <w:bCs/>
                <w:iCs/>
                <w:color w:val="000000"/>
                <w:sz w:val="24"/>
                <w:szCs w:val="24"/>
              </w:rPr>
              <w:t>350</w:t>
            </w:r>
            <w:r>
              <w:rPr>
                <w:rFonts w:hint="eastAsia"/>
                <w:bCs/>
                <w:iCs/>
                <w:color w:val="000000"/>
                <w:sz w:val="24"/>
                <w:szCs w:val="24"/>
              </w:rPr>
              <w:t>公里高速动车组首次批量供货，正在按照客户要求有序组织生产和交付。从目前掌握的市场信息看，未来高铁车轴国产化进程和节奏将进一步加快，公司会密切关注市场需求信息，抢抓订单，实现动车组车轴市场的进一步突破。</w:t>
            </w:r>
          </w:p>
          <w:p w14:paraId="672E3A02"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7.</w:t>
            </w:r>
            <w:r>
              <w:rPr>
                <w:rFonts w:hint="eastAsia"/>
                <w:b/>
                <w:bCs/>
                <w:iCs/>
                <w:color w:val="000000"/>
                <w:sz w:val="24"/>
                <w:szCs w:val="24"/>
              </w:rPr>
              <w:t>公司防务装备和</w:t>
            </w:r>
            <w:proofErr w:type="gramStart"/>
            <w:r>
              <w:rPr>
                <w:rFonts w:hint="eastAsia"/>
                <w:b/>
                <w:bCs/>
                <w:iCs/>
                <w:color w:val="000000"/>
                <w:sz w:val="24"/>
                <w:szCs w:val="24"/>
              </w:rPr>
              <w:t>智慧消防</w:t>
            </w:r>
            <w:proofErr w:type="gramEnd"/>
            <w:r>
              <w:rPr>
                <w:rFonts w:hint="eastAsia"/>
                <w:b/>
                <w:bCs/>
                <w:iCs/>
                <w:color w:val="000000"/>
                <w:sz w:val="24"/>
                <w:szCs w:val="24"/>
              </w:rPr>
              <w:t>应急装备等新兴业务的市场空间和竞争格局怎样？</w:t>
            </w:r>
          </w:p>
          <w:p w14:paraId="4345187A"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答：防务装备和</w:t>
            </w:r>
            <w:proofErr w:type="gramStart"/>
            <w:r>
              <w:rPr>
                <w:rFonts w:hint="eastAsia"/>
                <w:bCs/>
                <w:iCs/>
                <w:color w:val="000000"/>
                <w:sz w:val="24"/>
                <w:szCs w:val="24"/>
              </w:rPr>
              <w:t>智慧消防</w:t>
            </w:r>
            <w:proofErr w:type="gramEnd"/>
            <w:r>
              <w:rPr>
                <w:rFonts w:hint="eastAsia"/>
                <w:bCs/>
                <w:iCs/>
                <w:color w:val="000000"/>
                <w:sz w:val="24"/>
                <w:szCs w:val="24"/>
              </w:rPr>
              <w:t>应急装备等新业务板块是公司“双轮驱动”战略的核心组成部分，与轨道交通装备主业形成协同发展、互为支撑的产业格局。公司选择防务装备和</w:t>
            </w:r>
            <w:proofErr w:type="gramStart"/>
            <w:r>
              <w:rPr>
                <w:rFonts w:hint="eastAsia"/>
                <w:bCs/>
                <w:iCs/>
                <w:color w:val="000000"/>
                <w:sz w:val="24"/>
                <w:szCs w:val="24"/>
              </w:rPr>
              <w:t>智慧消防</w:t>
            </w:r>
            <w:proofErr w:type="gramEnd"/>
            <w:r>
              <w:rPr>
                <w:rFonts w:hint="eastAsia"/>
                <w:bCs/>
                <w:iCs/>
                <w:color w:val="000000"/>
                <w:sz w:val="24"/>
                <w:szCs w:val="24"/>
              </w:rPr>
              <w:t>作为新业务方向，主</w:t>
            </w:r>
            <w:r>
              <w:rPr>
                <w:rFonts w:hint="eastAsia"/>
                <w:bCs/>
                <w:iCs/>
                <w:color w:val="000000"/>
                <w:sz w:val="24"/>
                <w:szCs w:val="24"/>
              </w:rPr>
              <w:t>要基于以下</w:t>
            </w:r>
            <w:proofErr w:type="gramStart"/>
            <w:r>
              <w:rPr>
                <w:rFonts w:hint="eastAsia"/>
                <w:bCs/>
                <w:iCs/>
                <w:color w:val="000000"/>
                <w:sz w:val="24"/>
                <w:szCs w:val="24"/>
              </w:rPr>
              <w:t>考量</w:t>
            </w:r>
            <w:proofErr w:type="gramEnd"/>
            <w:r>
              <w:rPr>
                <w:rFonts w:hint="eastAsia"/>
                <w:bCs/>
                <w:iCs/>
                <w:color w:val="000000"/>
                <w:sz w:val="24"/>
                <w:szCs w:val="24"/>
              </w:rPr>
              <w:t>：防务装备：发挥公司在精密制造、特种车辆等领域的制造能力，积极承接总体单位协作配套任务，深入</w:t>
            </w:r>
            <w:proofErr w:type="gramStart"/>
            <w:r>
              <w:rPr>
                <w:rFonts w:hint="eastAsia"/>
                <w:bCs/>
                <w:iCs/>
                <w:color w:val="000000"/>
                <w:sz w:val="24"/>
                <w:szCs w:val="24"/>
              </w:rPr>
              <w:t>践行</w:t>
            </w:r>
            <w:proofErr w:type="gramEnd"/>
            <w:r>
              <w:rPr>
                <w:rFonts w:hint="eastAsia"/>
                <w:bCs/>
                <w:iCs/>
                <w:color w:val="000000"/>
                <w:sz w:val="24"/>
                <w:szCs w:val="24"/>
              </w:rPr>
              <w:t>融合发展战略。智慧消防：依托公司在轨道交通、特种装备等领域的技术积累和应用场景，以高效智能灭火防控技术为核心，为</w:t>
            </w:r>
            <w:r>
              <w:rPr>
                <w:rFonts w:hint="eastAsia"/>
                <w:bCs/>
                <w:iCs/>
                <w:color w:val="000000"/>
                <w:sz w:val="24"/>
                <w:szCs w:val="24"/>
              </w:rPr>
              <w:t>特定</w:t>
            </w:r>
            <w:r>
              <w:rPr>
                <w:rFonts w:hint="eastAsia"/>
                <w:bCs/>
                <w:iCs/>
                <w:color w:val="000000"/>
                <w:sz w:val="24"/>
                <w:szCs w:val="24"/>
              </w:rPr>
              <w:t>场景提供防火、灭火成套装备及整体解决方案。</w:t>
            </w:r>
          </w:p>
          <w:p w14:paraId="5225A53C"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2025</w:t>
            </w:r>
            <w:r>
              <w:rPr>
                <w:rFonts w:hint="eastAsia"/>
                <w:bCs/>
                <w:iCs/>
                <w:color w:val="000000"/>
                <w:sz w:val="24"/>
                <w:szCs w:val="24"/>
              </w:rPr>
              <w:t>年，公司防务装备领域收入实现快速增长，对公司整体经营规模和经营效益形成了有力支撑；</w:t>
            </w:r>
            <w:proofErr w:type="gramStart"/>
            <w:r>
              <w:rPr>
                <w:rFonts w:hint="eastAsia"/>
                <w:bCs/>
                <w:iCs/>
                <w:color w:val="000000"/>
                <w:sz w:val="24"/>
                <w:szCs w:val="24"/>
              </w:rPr>
              <w:t>智慧消防</w:t>
            </w:r>
            <w:proofErr w:type="gramEnd"/>
            <w:r>
              <w:rPr>
                <w:rFonts w:hint="eastAsia"/>
                <w:bCs/>
                <w:iCs/>
                <w:color w:val="000000"/>
                <w:sz w:val="24"/>
                <w:szCs w:val="24"/>
              </w:rPr>
              <w:t>应急装备业务尚处于市场培育和资质积累阶段，已累计取得</w:t>
            </w:r>
            <w:r>
              <w:rPr>
                <w:rFonts w:hint="eastAsia"/>
                <w:bCs/>
                <w:iCs/>
                <w:color w:val="000000"/>
                <w:sz w:val="24"/>
                <w:szCs w:val="24"/>
              </w:rPr>
              <w:t>18</w:t>
            </w:r>
            <w:r>
              <w:rPr>
                <w:rFonts w:hint="eastAsia"/>
                <w:bCs/>
                <w:iCs/>
                <w:color w:val="000000"/>
                <w:sz w:val="24"/>
                <w:szCs w:val="24"/>
              </w:rPr>
              <w:t>项专利技术、</w:t>
            </w:r>
            <w:r>
              <w:rPr>
                <w:rFonts w:hint="eastAsia"/>
                <w:bCs/>
                <w:iCs/>
                <w:color w:val="000000"/>
                <w:sz w:val="24"/>
                <w:szCs w:val="24"/>
              </w:rPr>
              <w:t>11</w:t>
            </w:r>
            <w:r>
              <w:rPr>
                <w:rFonts w:hint="eastAsia"/>
                <w:bCs/>
                <w:iCs/>
                <w:color w:val="000000"/>
                <w:sz w:val="24"/>
                <w:szCs w:val="24"/>
              </w:rPr>
              <w:t>项产品资质认证及计算机软件著作权，并成功获得建</w:t>
            </w:r>
            <w:r>
              <w:rPr>
                <w:rFonts w:hint="eastAsia"/>
                <w:bCs/>
                <w:iCs/>
                <w:color w:val="000000"/>
                <w:sz w:val="24"/>
                <w:szCs w:val="24"/>
              </w:rPr>
              <w:lastRenderedPageBreak/>
              <w:t>筑业企业消防工程专业二级承</w:t>
            </w:r>
            <w:r>
              <w:rPr>
                <w:rFonts w:hint="eastAsia"/>
                <w:bCs/>
                <w:iCs/>
                <w:color w:val="000000"/>
                <w:sz w:val="24"/>
                <w:szCs w:val="24"/>
              </w:rPr>
              <w:t>包资质，为后续业务拓展奠定了坚实基础。</w:t>
            </w:r>
          </w:p>
          <w:p w14:paraId="445BBCF5"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8.</w:t>
            </w:r>
            <w:r>
              <w:rPr>
                <w:rFonts w:hint="eastAsia"/>
                <w:b/>
                <w:bCs/>
                <w:iCs/>
                <w:color w:val="000000"/>
                <w:sz w:val="24"/>
                <w:szCs w:val="24"/>
              </w:rPr>
              <w:t>公司</w:t>
            </w:r>
            <w:r>
              <w:rPr>
                <w:rFonts w:hint="eastAsia"/>
                <w:b/>
                <w:bCs/>
                <w:iCs/>
                <w:color w:val="000000"/>
                <w:sz w:val="24"/>
                <w:szCs w:val="24"/>
              </w:rPr>
              <w:t>2025</w:t>
            </w:r>
            <w:r>
              <w:rPr>
                <w:rFonts w:hint="eastAsia"/>
                <w:b/>
                <w:bCs/>
                <w:iCs/>
                <w:color w:val="000000"/>
                <w:sz w:val="24"/>
                <w:szCs w:val="24"/>
              </w:rPr>
              <w:t>年经营性现金流净额同比大增</w:t>
            </w:r>
            <w:r>
              <w:rPr>
                <w:rFonts w:hint="eastAsia"/>
                <w:b/>
                <w:bCs/>
                <w:iCs/>
                <w:color w:val="000000"/>
                <w:sz w:val="24"/>
                <w:szCs w:val="24"/>
              </w:rPr>
              <w:t>89%</w:t>
            </w:r>
            <w:r>
              <w:rPr>
                <w:rFonts w:hint="eastAsia"/>
                <w:b/>
                <w:bCs/>
                <w:iCs/>
                <w:color w:val="000000"/>
                <w:sz w:val="24"/>
                <w:szCs w:val="24"/>
              </w:rPr>
              <w:t>，改善主要是营运资金周转效率提升，还是存在阶段性因素？可持续性如何判断？</w:t>
            </w:r>
          </w:p>
          <w:p w14:paraId="0E6CD37B"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答：公司经营性现金流受主要产品交付时间及回款期限的影响，在不同期间会因具体业务执行情况有所波动，并未呈现出特定的规律性。</w:t>
            </w:r>
            <w:r>
              <w:rPr>
                <w:rFonts w:hint="eastAsia"/>
                <w:bCs/>
                <w:iCs/>
                <w:color w:val="000000"/>
                <w:sz w:val="24"/>
                <w:szCs w:val="24"/>
              </w:rPr>
              <w:t>近年来公司经营性现金</w:t>
            </w:r>
            <w:proofErr w:type="gramStart"/>
            <w:r>
              <w:rPr>
                <w:rFonts w:hint="eastAsia"/>
                <w:bCs/>
                <w:iCs/>
                <w:color w:val="000000"/>
                <w:sz w:val="24"/>
                <w:szCs w:val="24"/>
              </w:rPr>
              <w:t>流保持</w:t>
            </w:r>
            <w:proofErr w:type="gramEnd"/>
            <w:r>
              <w:rPr>
                <w:rFonts w:hint="eastAsia"/>
                <w:bCs/>
                <w:iCs/>
                <w:color w:val="000000"/>
                <w:sz w:val="24"/>
                <w:szCs w:val="24"/>
              </w:rPr>
              <w:t>正向净流入。</w:t>
            </w:r>
          </w:p>
          <w:p w14:paraId="7FF9CC4E"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9</w:t>
            </w:r>
            <w:r>
              <w:rPr>
                <w:rFonts w:hint="eastAsia"/>
                <w:b/>
                <w:bCs/>
                <w:iCs/>
                <w:color w:val="000000"/>
                <w:sz w:val="24"/>
                <w:szCs w:val="24"/>
              </w:rPr>
              <w:t>.</w:t>
            </w:r>
            <w:r>
              <w:rPr>
                <w:rFonts w:hint="eastAsia"/>
                <w:b/>
                <w:bCs/>
                <w:iCs/>
                <w:color w:val="000000"/>
                <w:sz w:val="24"/>
                <w:szCs w:val="24"/>
              </w:rPr>
              <w:t>公司资产负债率仅</w:t>
            </w:r>
            <w:r>
              <w:rPr>
                <w:rFonts w:hint="eastAsia"/>
                <w:b/>
                <w:bCs/>
                <w:iCs/>
                <w:color w:val="000000"/>
                <w:sz w:val="24"/>
                <w:szCs w:val="24"/>
              </w:rPr>
              <w:t>16.33%</w:t>
            </w:r>
            <w:r>
              <w:rPr>
                <w:rFonts w:hint="eastAsia"/>
                <w:b/>
                <w:bCs/>
                <w:iCs/>
                <w:color w:val="000000"/>
                <w:sz w:val="24"/>
                <w:szCs w:val="24"/>
              </w:rPr>
              <w:t>，货币资金较上年末减少</w:t>
            </w:r>
            <w:r>
              <w:rPr>
                <w:rFonts w:hint="eastAsia"/>
                <w:b/>
                <w:bCs/>
                <w:iCs/>
                <w:color w:val="000000"/>
                <w:sz w:val="24"/>
                <w:szCs w:val="24"/>
              </w:rPr>
              <w:t>28.52%</w:t>
            </w:r>
            <w:r>
              <w:rPr>
                <w:rFonts w:hint="eastAsia"/>
                <w:b/>
                <w:bCs/>
                <w:iCs/>
                <w:color w:val="000000"/>
                <w:sz w:val="24"/>
                <w:szCs w:val="24"/>
              </w:rPr>
              <w:t>，投资活动</w:t>
            </w:r>
            <w:proofErr w:type="gramStart"/>
            <w:r>
              <w:rPr>
                <w:rFonts w:hint="eastAsia"/>
                <w:b/>
                <w:bCs/>
                <w:iCs/>
                <w:color w:val="000000"/>
                <w:sz w:val="24"/>
                <w:szCs w:val="24"/>
              </w:rPr>
              <w:t>现金流净流出</w:t>
            </w:r>
            <w:proofErr w:type="gramEnd"/>
            <w:r>
              <w:rPr>
                <w:rFonts w:hint="eastAsia"/>
                <w:b/>
                <w:bCs/>
                <w:iCs/>
                <w:color w:val="000000"/>
                <w:sz w:val="24"/>
                <w:szCs w:val="24"/>
              </w:rPr>
              <w:t>2.13</w:t>
            </w:r>
            <w:r>
              <w:rPr>
                <w:rFonts w:hint="eastAsia"/>
                <w:b/>
                <w:bCs/>
                <w:iCs/>
                <w:color w:val="000000"/>
                <w:sz w:val="24"/>
                <w:szCs w:val="24"/>
              </w:rPr>
              <w:t>亿元，资金主要投向哪里？</w:t>
            </w:r>
          </w:p>
          <w:p w14:paraId="2D1FB623"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答：公司货币资金较上年末减少</w:t>
            </w:r>
            <w:r>
              <w:rPr>
                <w:rFonts w:hint="eastAsia"/>
                <w:bCs/>
                <w:iCs/>
                <w:color w:val="000000"/>
                <w:sz w:val="24"/>
                <w:szCs w:val="24"/>
              </w:rPr>
              <w:t>19,919</w:t>
            </w:r>
            <w:r>
              <w:rPr>
                <w:rFonts w:hint="eastAsia"/>
                <w:bCs/>
                <w:iCs/>
                <w:color w:val="000000"/>
                <w:sz w:val="24"/>
                <w:szCs w:val="24"/>
              </w:rPr>
              <w:t>万元，资金流向主要为购买结构性存款较上年末增加</w:t>
            </w:r>
            <w:r>
              <w:rPr>
                <w:rFonts w:hint="eastAsia"/>
                <w:bCs/>
                <w:iCs/>
                <w:color w:val="000000"/>
                <w:sz w:val="24"/>
                <w:szCs w:val="24"/>
              </w:rPr>
              <w:t>9,519</w:t>
            </w:r>
            <w:r>
              <w:rPr>
                <w:rFonts w:hint="eastAsia"/>
                <w:bCs/>
                <w:iCs/>
                <w:color w:val="000000"/>
                <w:sz w:val="24"/>
                <w:szCs w:val="24"/>
              </w:rPr>
              <w:t>万元、定期存款增加</w:t>
            </w:r>
            <w:r>
              <w:rPr>
                <w:rFonts w:hint="eastAsia"/>
                <w:bCs/>
                <w:iCs/>
                <w:color w:val="000000"/>
                <w:sz w:val="24"/>
                <w:szCs w:val="24"/>
              </w:rPr>
              <w:t>11,000</w:t>
            </w:r>
            <w:r>
              <w:rPr>
                <w:rFonts w:hint="eastAsia"/>
                <w:bCs/>
                <w:iCs/>
                <w:color w:val="000000"/>
                <w:sz w:val="24"/>
                <w:szCs w:val="24"/>
              </w:rPr>
              <w:t>万元。</w:t>
            </w:r>
          </w:p>
          <w:p w14:paraId="349B2279"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1</w:t>
            </w:r>
            <w:r>
              <w:rPr>
                <w:rFonts w:hint="eastAsia"/>
                <w:b/>
                <w:bCs/>
                <w:iCs/>
                <w:color w:val="000000"/>
                <w:sz w:val="24"/>
                <w:szCs w:val="24"/>
              </w:rPr>
              <w:t>0</w:t>
            </w:r>
            <w:r>
              <w:rPr>
                <w:rFonts w:hint="eastAsia"/>
                <w:b/>
                <w:bCs/>
                <w:iCs/>
                <w:color w:val="000000"/>
                <w:sz w:val="24"/>
                <w:szCs w:val="24"/>
              </w:rPr>
              <w:t>.2025</w:t>
            </w:r>
            <w:r>
              <w:rPr>
                <w:rFonts w:hint="eastAsia"/>
                <w:b/>
                <w:bCs/>
                <w:iCs/>
                <w:color w:val="000000"/>
                <w:sz w:val="24"/>
                <w:szCs w:val="24"/>
              </w:rPr>
              <w:t>年全国铁路固定资产投资同比增长</w:t>
            </w:r>
            <w:r>
              <w:rPr>
                <w:rFonts w:hint="eastAsia"/>
                <w:b/>
                <w:bCs/>
                <w:iCs/>
                <w:color w:val="000000"/>
                <w:sz w:val="24"/>
                <w:szCs w:val="24"/>
              </w:rPr>
              <w:t>6%</w:t>
            </w:r>
            <w:r>
              <w:rPr>
                <w:rFonts w:hint="eastAsia"/>
                <w:b/>
                <w:bCs/>
                <w:iCs/>
                <w:color w:val="000000"/>
                <w:sz w:val="24"/>
                <w:szCs w:val="24"/>
              </w:rPr>
              <w:t>。“十五五”期间，铁路投资能否保持增长？公司未来主业增长空间如何？</w:t>
            </w:r>
          </w:p>
          <w:p w14:paraId="3E8659EB" w14:textId="1C8EE382" w:rsidR="00994450" w:rsidRDefault="003958E2">
            <w:pPr>
              <w:spacing w:line="360" w:lineRule="auto"/>
              <w:ind w:firstLineChars="200" w:firstLine="480"/>
              <w:rPr>
                <w:bCs/>
                <w:iCs/>
                <w:color w:val="000000"/>
                <w:sz w:val="24"/>
                <w:szCs w:val="24"/>
              </w:rPr>
            </w:pPr>
            <w:r>
              <w:rPr>
                <w:rFonts w:hint="eastAsia"/>
                <w:bCs/>
                <w:iCs/>
                <w:color w:val="000000"/>
                <w:sz w:val="24"/>
                <w:szCs w:val="24"/>
              </w:rPr>
              <w:t>答：预计“十五五”铁路投资仍将保持较高强度，市场空间总体稳定，投资结构优化，正从过去单一的“干线建设”向“干线</w:t>
            </w:r>
            <w:r>
              <w:rPr>
                <w:rFonts w:hint="eastAsia"/>
                <w:bCs/>
                <w:iCs/>
                <w:color w:val="000000"/>
                <w:sz w:val="24"/>
                <w:szCs w:val="24"/>
              </w:rPr>
              <w:t>+</w:t>
            </w:r>
            <w:r>
              <w:rPr>
                <w:rFonts w:hint="eastAsia"/>
                <w:bCs/>
                <w:iCs/>
                <w:color w:val="000000"/>
                <w:sz w:val="24"/>
                <w:szCs w:val="24"/>
              </w:rPr>
              <w:t>城际</w:t>
            </w:r>
            <w:r>
              <w:rPr>
                <w:rFonts w:hint="eastAsia"/>
                <w:bCs/>
                <w:iCs/>
                <w:color w:val="000000"/>
                <w:sz w:val="24"/>
                <w:szCs w:val="24"/>
              </w:rPr>
              <w:t>+</w:t>
            </w:r>
            <w:r>
              <w:rPr>
                <w:rFonts w:hint="eastAsia"/>
                <w:bCs/>
                <w:iCs/>
                <w:color w:val="000000"/>
                <w:sz w:val="24"/>
                <w:szCs w:val="24"/>
              </w:rPr>
              <w:t>市域”多层级网络协同发展转型。根据国家规划，到</w:t>
            </w:r>
            <w:r>
              <w:rPr>
                <w:rFonts w:hint="eastAsia"/>
                <w:bCs/>
                <w:iCs/>
                <w:color w:val="000000"/>
                <w:sz w:val="24"/>
                <w:szCs w:val="24"/>
              </w:rPr>
              <w:t>2030</w:t>
            </w:r>
            <w:r>
              <w:rPr>
                <w:rFonts w:hint="eastAsia"/>
                <w:bCs/>
                <w:iCs/>
                <w:color w:val="000000"/>
                <w:sz w:val="24"/>
                <w:szCs w:val="24"/>
              </w:rPr>
              <w:t>年全国铁路营业里程将达到</w:t>
            </w:r>
            <w:r>
              <w:rPr>
                <w:rFonts w:hint="eastAsia"/>
                <w:bCs/>
                <w:iCs/>
                <w:color w:val="000000"/>
                <w:sz w:val="24"/>
                <w:szCs w:val="24"/>
              </w:rPr>
              <w:t>18</w:t>
            </w:r>
            <w:r>
              <w:rPr>
                <w:rFonts w:hint="eastAsia"/>
                <w:bCs/>
                <w:iCs/>
                <w:color w:val="000000"/>
                <w:sz w:val="24"/>
                <w:szCs w:val="24"/>
              </w:rPr>
              <w:t>万公里左右，</w:t>
            </w:r>
            <w:r>
              <w:rPr>
                <w:rFonts w:hint="eastAsia"/>
                <w:bCs/>
                <w:iCs/>
                <w:color w:val="000000"/>
                <w:sz w:val="24"/>
                <w:szCs w:val="24"/>
              </w:rPr>
              <w:t>其中高</w:t>
            </w:r>
            <w:r w:rsidR="00753E15">
              <w:rPr>
                <w:rFonts w:hint="eastAsia"/>
                <w:bCs/>
                <w:iCs/>
                <w:color w:val="000000"/>
                <w:sz w:val="24"/>
                <w:szCs w:val="24"/>
              </w:rPr>
              <w:t>铁</w:t>
            </w:r>
            <w:r w:rsidR="00753E15">
              <w:rPr>
                <w:rFonts w:hint="eastAsia"/>
                <w:bCs/>
                <w:iCs/>
                <w:color w:val="000000"/>
                <w:sz w:val="24"/>
                <w:szCs w:val="24"/>
              </w:rPr>
              <w:t>6</w:t>
            </w:r>
            <w:r>
              <w:rPr>
                <w:rFonts w:hint="eastAsia"/>
                <w:bCs/>
                <w:iCs/>
                <w:color w:val="000000"/>
                <w:sz w:val="24"/>
                <w:szCs w:val="24"/>
              </w:rPr>
              <w:t>万公里</w:t>
            </w:r>
            <w:r w:rsidR="00753E15">
              <w:rPr>
                <w:rFonts w:hint="eastAsia"/>
                <w:bCs/>
                <w:iCs/>
                <w:color w:val="000000"/>
                <w:sz w:val="24"/>
                <w:szCs w:val="24"/>
              </w:rPr>
              <w:t>左右</w:t>
            </w:r>
            <w:bookmarkStart w:id="2" w:name="_GoBack"/>
            <w:bookmarkEnd w:id="2"/>
            <w:r>
              <w:rPr>
                <w:rFonts w:hint="eastAsia"/>
                <w:bCs/>
                <w:iCs/>
                <w:color w:val="000000"/>
                <w:sz w:val="24"/>
                <w:szCs w:val="24"/>
              </w:rPr>
              <w:t>。总体来看，铁路投资的持续性和结构优化为公司轨道交通装备主业发展提供了良好的外部环境，公司将紧抓机遇，持续提升核心竞争力，努力将市场空间转化为实实在在的经营业绩。</w:t>
            </w:r>
          </w:p>
          <w:p w14:paraId="115B92B9" w14:textId="77777777" w:rsidR="00994450" w:rsidRDefault="003958E2">
            <w:pPr>
              <w:spacing w:line="360" w:lineRule="auto"/>
              <w:ind w:firstLineChars="200" w:firstLine="482"/>
              <w:rPr>
                <w:b/>
                <w:bCs/>
                <w:iCs/>
                <w:color w:val="000000"/>
                <w:sz w:val="24"/>
                <w:szCs w:val="24"/>
              </w:rPr>
            </w:pPr>
            <w:r>
              <w:rPr>
                <w:rFonts w:hint="eastAsia"/>
                <w:b/>
                <w:bCs/>
                <w:iCs/>
                <w:color w:val="000000"/>
                <w:sz w:val="24"/>
                <w:szCs w:val="24"/>
              </w:rPr>
              <w:t>1</w:t>
            </w:r>
            <w:r>
              <w:rPr>
                <w:rFonts w:hint="eastAsia"/>
                <w:b/>
                <w:bCs/>
                <w:iCs/>
                <w:color w:val="000000"/>
                <w:sz w:val="24"/>
                <w:szCs w:val="24"/>
              </w:rPr>
              <w:t>1</w:t>
            </w:r>
            <w:r>
              <w:rPr>
                <w:rFonts w:hint="eastAsia"/>
                <w:b/>
                <w:bCs/>
                <w:iCs/>
                <w:color w:val="000000"/>
                <w:sz w:val="24"/>
                <w:szCs w:val="24"/>
              </w:rPr>
              <w:t>.</w:t>
            </w:r>
            <w:r>
              <w:rPr>
                <w:rFonts w:hint="eastAsia"/>
                <w:b/>
                <w:bCs/>
                <w:iCs/>
                <w:color w:val="000000"/>
                <w:sz w:val="24"/>
                <w:szCs w:val="24"/>
              </w:rPr>
              <w:t>公司如何加强与二级市场的沟通，让市场更充分理解公司投资价值？是否有计划增加业绩说明会或反向路演的频率？</w:t>
            </w:r>
          </w:p>
          <w:p w14:paraId="384DA71E" w14:textId="77777777" w:rsidR="00994450" w:rsidRDefault="003958E2">
            <w:pPr>
              <w:spacing w:line="360" w:lineRule="auto"/>
              <w:ind w:firstLineChars="200" w:firstLine="480"/>
              <w:rPr>
                <w:bCs/>
                <w:iCs/>
                <w:color w:val="000000"/>
                <w:sz w:val="24"/>
                <w:szCs w:val="24"/>
              </w:rPr>
            </w:pPr>
            <w:r>
              <w:rPr>
                <w:rFonts w:hint="eastAsia"/>
                <w:bCs/>
                <w:iCs/>
                <w:color w:val="000000"/>
                <w:sz w:val="24"/>
                <w:szCs w:val="24"/>
              </w:rPr>
              <w:t>答：公司高度重视投资者关系管理，将持续通过投资者电话、上证</w:t>
            </w:r>
            <w:r>
              <w:rPr>
                <w:rFonts w:hint="eastAsia"/>
                <w:bCs/>
                <w:iCs/>
                <w:color w:val="000000"/>
                <w:sz w:val="24"/>
                <w:szCs w:val="24"/>
              </w:rPr>
              <w:t>e</w:t>
            </w:r>
            <w:r>
              <w:rPr>
                <w:rFonts w:hint="eastAsia"/>
                <w:bCs/>
                <w:iCs/>
                <w:color w:val="000000"/>
                <w:sz w:val="24"/>
                <w:szCs w:val="24"/>
              </w:rPr>
              <w:t>互动、机构调研、实地走访、业绩说明会等多种方</w:t>
            </w:r>
            <w:r>
              <w:rPr>
                <w:rFonts w:hint="eastAsia"/>
                <w:bCs/>
                <w:iCs/>
                <w:color w:val="000000"/>
                <w:sz w:val="24"/>
                <w:szCs w:val="24"/>
              </w:rPr>
              <w:lastRenderedPageBreak/>
              <w:t>式强化与二级市场沟通，后续计划适当增加业绩说明会及各类专项交流活动频次，更充分、透明地向市场传递公司战略与内在价值，增</w:t>
            </w:r>
            <w:r>
              <w:rPr>
                <w:rFonts w:hint="eastAsia"/>
                <w:bCs/>
                <w:iCs/>
                <w:color w:val="000000"/>
                <w:sz w:val="24"/>
                <w:szCs w:val="24"/>
              </w:rPr>
              <w:t>进投资者对公司的理解和认可。</w:t>
            </w:r>
          </w:p>
        </w:tc>
      </w:tr>
      <w:tr w:rsidR="00994450" w14:paraId="433B46E3" w14:textId="77777777">
        <w:trPr>
          <w:trHeight w:val="726"/>
        </w:trPr>
        <w:tc>
          <w:tcPr>
            <w:tcW w:w="1980" w:type="dxa"/>
            <w:vAlign w:val="center"/>
          </w:tcPr>
          <w:p w14:paraId="6CC68301" w14:textId="77777777" w:rsidR="00994450" w:rsidRDefault="003958E2">
            <w:pPr>
              <w:spacing w:line="360" w:lineRule="auto"/>
              <w:rPr>
                <w:rFonts w:hAnsi="宋体"/>
                <w:b/>
                <w:bCs/>
                <w:iCs/>
                <w:color w:val="000000"/>
                <w:sz w:val="24"/>
              </w:rPr>
            </w:pPr>
            <w:r>
              <w:rPr>
                <w:rFonts w:hAnsi="宋体" w:hint="eastAsia"/>
                <w:b/>
                <w:bCs/>
                <w:iCs/>
                <w:color w:val="000000"/>
                <w:sz w:val="24"/>
              </w:rPr>
              <w:lastRenderedPageBreak/>
              <w:t>关于本次活动是否涉及应当披露重大信息的说明</w:t>
            </w:r>
          </w:p>
        </w:tc>
        <w:tc>
          <w:tcPr>
            <w:tcW w:w="6633" w:type="dxa"/>
            <w:vAlign w:val="center"/>
          </w:tcPr>
          <w:p w14:paraId="7B0C5D9B" w14:textId="77777777" w:rsidR="00994450" w:rsidRDefault="003958E2">
            <w:pPr>
              <w:spacing w:line="360" w:lineRule="auto"/>
              <w:rPr>
                <w:bCs/>
                <w:iCs/>
                <w:color w:val="000000"/>
                <w:sz w:val="24"/>
                <w:szCs w:val="24"/>
              </w:rPr>
            </w:pPr>
            <w:r>
              <w:rPr>
                <w:rFonts w:hint="eastAsia"/>
                <w:bCs/>
                <w:iCs/>
                <w:color w:val="000000"/>
                <w:sz w:val="24"/>
                <w:szCs w:val="24"/>
              </w:rPr>
              <w:t>本次业绩说明会期间，公司不存在涉及任何应当披露重大信息的情形。</w:t>
            </w:r>
          </w:p>
        </w:tc>
      </w:tr>
      <w:tr w:rsidR="00994450" w14:paraId="73F35F4D" w14:textId="77777777">
        <w:trPr>
          <w:trHeight w:val="726"/>
        </w:trPr>
        <w:tc>
          <w:tcPr>
            <w:tcW w:w="1980" w:type="dxa"/>
            <w:vAlign w:val="center"/>
          </w:tcPr>
          <w:p w14:paraId="5415866D" w14:textId="77777777" w:rsidR="00994450" w:rsidRDefault="003958E2">
            <w:pPr>
              <w:spacing w:line="360" w:lineRule="auto"/>
              <w:rPr>
                <w:b/>
                <w:bCs/>
                <w:iCs/>
                <w:color w:val="000000"/>
                <w:sz w:val="24"/>
              </w:rPr>
            </w:pPr>
            <w:r>
              <w:rPr>
                <w:rFonts w:hAnsi="宋体"/>
                <w:b/>
                <w:bCs/>
                <w:iCs/>
                <w:color w:val="000000"/>
                <w:sz w:val="24"/>
              </w:rPr>
              <w:t>附件清单（如有）</w:t>
            </w:r>
          </w:p>
        </w:tc>
        <w:tc>
          <w:tcPr>
            <w:tcW w:w="6633" w:type="dxa"/>
            <w:vAlign w:val="center"/>
          </w:tcPr>
          <w:p w14:paraId="31BC42CF" w14:textId="77777777" w:rsidR="00994450" w:rsidRDefault="003958E2">
            <w:pPr>
              <w:spacing w:line="360" w:lineRule="auto"/>
              <w:rPr>
                <w:bCs/>
                <w:iCs/>
                <w:color w:val="000000"/>
                <w:sz w:val="24"/>
                <w:szCs w:val="24"/>
              </w:rPr>
            </w:pPr>
            <w:r>
              <w:rPr>
                <w:rFonts w:hint="eastAsia"/>
                <w:bCs/>
                <w:iCs/>
                <w:color w:val="000000"/>
                <w:sz w:val="24"/>
                <w:szCs w:val="24"/>
              </w:rPr>
              <w:t>无</w:t>
            </w:r>
          </w:p>
        </w:tc>
      </w:tr>
    </w:tbl>
    <w:p w14:paraId="61B38A91" w14:textId="77777777" w:rsidR="00994450" w:rsidRDefault="00994450">
      <w:pPr>
        <w:spacing w:line="560" w:lineRule="exact"/>
        <w:ind w:firstLineChars="1700" w:firstLine="5440"/>
        <w:outlineLvl w:val="0"/>
        <w:rPr>
          <w:rFonts w:ascii="仿宋_GB2312" w:eastAsia="仿宋_GB2312"/>
          <w:sz w:val="32"/>
          <w:szCs w:val="32"/>
        </w:rPr>
      </w:pPr>
    </w:p>
    <w:sectPr w:rsidR="0099445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2A7B1" w14:textId="77777777" w:rsidR="003958E2" w:rsidRDefault="003958E2">
      <w:r>
        <w:separator/>
      </w:r>
    </w:p>
  </w:endnote>
  <w:endnote w:type="continuationSeparator" w:id="0">
    <w:p w14:paraId="5985E0AF" w14:textId="77777777" w:rsidR="003958E2" w:rsidRDefault="0039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81785"/>
      <w:docPartObj>
        <w:docPartGallery w:val="AutoText"/>
      </w:docPartObj>
    </w:sdtPr>
    <w:sdtEndPr/>
    <w:sdtContent>
      <w:p w14:paraId="54A5861B" w14:textId="77777777" w:rsidR="00994450" w:rsidRDefault="003958E2">
        <w:pPr>
          <w:pStyle w:val="a3"/>
          <w:jc w:val="center"/>
        </w:pPr>
        <w:r>
          <w:fldChar w:fldCharType="begin"/>
        </w:r>
        <w:r>
          <w:instrText>PAGE   \* MERGEFORMAT</w:instrText>
        </w:r>
        <w:r>
          <w:fldChar w:fldCharType="separate"/>
        </w:r>
        <w:r w:rsidR="00753E15" w:rsidRPr="00753E15">
          <w:rPr>
            <w:noProof/>
            <w:lang w:val="zh-CN"/>
          </w:rPr>
          <w:t>4</w:t>
        </w:r>
        <w:r>
          <w:fldChar w:fldCharType="end"/>
        </w:r>
      </w:p>
    </w:sdtContent>
  </w:sdt>
  <w:p w14:paraId="22C9FBB5" w14:textId="77777777" w:rsidR="00994450" w:rsidRDefault="009944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6F2CF" w14:textId="77777777" w:rsidR="003958E2" w:rsidRDefault="003958E2">
      <w:r>
        <w:separator/>
      </w:r>
    </w:p>
  </w:footnote>
  <w:footnote w:type="continuationSeparator" w:id="0">
    <w:p w14:paraId="4C288A09" w14:textId="77777777" w:rsidR="003958E2" w:rsidRDefault="00395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9C"/>
    <w:rsid w:val="00006FDD"/>
    <w:rsid w:val="0002222C"/>
    <w:rsid w:val="000323EC"/>
    <w:rsid w:val="00032476"/>
    <w:rsid w:val="00034A20"/>
    <w:rsid w:val="000379A5"/>
    <w:rsid w:val="00040DFB"/>
    <w:rsid w:val="00043326"/>
    <w:rsid w:val="000500D5"/>
    <w:rsid w:val="00065ECB"/>
    <w:rsid w:val="00071070"/>
    <w:rsid w:val="0008756B"/>
    <w:rsid w:val="00093158"/>
    <w:rsid w:val="000C489A"/>
    <w:rsid w:val="000D59B3"/>
    <w:rsid w:val="000E02A5"/>
    <w:rsid w:val="000E15C9"/>
    <w:rsid w:val="000F3E8F"/>
    <w:rsid w:val="000F6C07"/>
    <w:rsid w:val="00104F57"/>
    <w:rsid w:val="00107184"/>
    <w:rsid w:val="001501BC"/>
    <w:rsid w:val="00164BFE"/>
    <w:rsid w:val="00170B8E"/>
    <w:rsid w:val="001749A5"/>
    <w:rsid w:val="00193B49"/>
    <w:rsid w:val="00195593"/>
    <w:rsid w:val="001A35FA"/>
    <w:rsid w:val="001B79E6"/>
    <w:rsid w:val="001E1DB4"/>
    <w:rsid w:val="001E5D31"/>
    <w:rsid w:val="00202540"/>
    <w:rsid w:val="00223013"/>
    <w:rsid w:val="0022703C"/>
    <w:rsid w:val="00234EB1"/>
    <w:rsid w:val="00237070"/>
    <w:rsid w:val="0023733D"/>
    <w:rsid w:val="002631BC"/>
    <w:rsid w:val="002776BA"/>
    <w:rsid w:val="00282C93"/>
    <w:rsid w:val="00284270"/>
    <w:rsid w:val="0028499C"/>
    <w:rsid w:val="002878BF"/>
    <w:rsid w:val="00290298"/>
    <w:rsid w:val="002A4251"/>
    <w:rsid w:val="002D61D3"/>
    <w:rsid w:val="002E6FC7"/>
    <w:rsid w:val="002F0345"/>
    <w:rsid w:val="00305BCB"/>
    <w:rsid w:val="00312C8D"/>
    <w:rsid w:val="003154C8"/>
    <w:rsid w:val="003275B9"/>
    <w:rsid w:val="00340698"/>
    <w:rsid w:val="00352BE2"/>
    <w:rsid w:val="00363E05"/>
    <w:rsid w:val="003958E2"/>
    <w:rsid w:val="003A1748"/>
    <w:rsid w:val="003B4853"/>
    <w:rsid w:val="003C1E32"/>
    <w:rsid w:val="003C6B24"/>
    <w:rsid w:val="003D2746"/>
    <w:rsid w:val="003E21C6"/>
    <w:rsid w:val="003E228E"/>
    <w:rsid w:val="003E69D4"/>
    <w:rsid w:val="003F55D7"/>
    <w:rsid w:val="00412B68"/>
    <w:rsid w:val="004178D8"/>
    <w:rsid w:val="00431594"/>
    <w:rsid w:val="0045073E"/>
    <w:rsid w:val="00454F7F"/>
    <w:rsid w:val="00465AA5"/>
    <w:rsid w:val="0047016C"/>
    <w:rsid w:val="00472D8A"/>
    <w:rsid w:val="00476455"/>
    <w:rsid w:val="00476B9C"/>
    <w:rsid w:val="0049063C"/>
    <w:rsid w:val="00491959"/>
    <w:rsid w:val="00493E43"/>
    <w:rsid w:val="004B6C95"/>
    <w:rsid w:val="004C619C"/>
    <w:rsid w:val="004D470D"/>
    <w:rsid w:val="004D7F26"/>
    <w:rsid w:val="005005B9"/>
    <w:rsid w:val="00511F2D"/>
    <w:rsid w:val="005247D0"/>
    <w:rsid w:val="0052500A"/>
    <w:rsid w:val="005377EC"/>
    <w:rsid w:val="005446D8"/>
    <w:rsid w:val="00545AE6"/>
    <w:rsid w:val="00546421"/>
    <w:rsid w:val="00546CD7"/>
    <w:rsid w:val="005552AD"/>
    <w:rsid w:val="0056308C"/>
    <w:rsid w:val="00565E7E"/>
    <w:rsid w:val="005842B2"/>
    <w:rsid w:val="005875E5"/>
    <w:rsid w:val="00594775"/>
    <w:rsid w:val="00597089"/>
    <w:rsid w:val="005A2162"/>
    <w:rsid w:val="005A549F"/>
    <w:rsid w:val="005B0311"/>
    <w:rsid w:val="005B2744"/>
    <w:rsid w:val="005E77BC"/>
    <w:rsid w:val="005F62E4"/>
    <w:rsid w:val="00603311"/>
    <w:rsid w:val="00657C3C"/>
    <w:rsid w:val="006712C3"/>
    <w:rsid w:val="00692BFC"/>
    <w:rsid w:val="00694C36"/>
    <w:rsid w:val="00695511"/>
    <w:rsid w:val="006B0DE1"/>
    <w:rsid w:val="006B415B"/>
    <w:rsid w:val="006B4A77"/>
    <w:rsid w:val="006C0A6E"/>
    <w:rsid w:val="006E1475"/>
    <w:rsid w:val="006E6498"/>
    <w:rsid w:val="00731156"/>
    <w:rsid w:val="00731806"/>
    <w:rsid w:val="00733F0C"/>
    <w:rsid w:val="007403A2"/>
    <w:rsid w:val="00753E15"/>
    <w:rsid w:val="00757CF6"/>
    <w:rsid w:val="00791465"/>
    <w:rsid w:val="007919B6"/>
    <w:rsid w:val="00796DEF"/>
    <w:rsid w:val="007B0983"/>
    <w:rsid w:val="007B2681"/>
    <w:rsid w:val="007D57F4"/>
    <w:rsid w:val="007D67D5"/>
    <w:rsid w:val="007E1EEF"/>
    <w:rsid w:val="007F27E6"/>
    <w:rsid w:val="0080261C"/>
    <w:rsid w:val="008042C5"/>
    <w:rsid w:val="0080431B"/>
    <w:rsid w:val="008051E6"/>
    <w:rsid w:val="00807A13"/>
    <w:rsid w:val="00810254"/>
    <w:rsid w:val="00812D62"/>
    <w:rsid w:val="0081581F"/>
    <w:rsid w:val="00816138"/>
    <w:rsid w:val="008308BE"/>
    <w:rsid w:val="00832EFB"/>
    <w:rsid w:val="0083546C"/>
    <w:rsid w:val="0085308A"/>
    <w:rsid w:val="00855246"/>
    <w:rsid w:val="008631D7"/>
    <w:rsid w:val="008744D2"/>
    <w:rsid w:val="00877342"/>
    <w:rsid w:val="00882D3B"/>
    <w:rsid w:val="00883092"/>
    <w:rsid w:val="00885016"/>
    <w:rsid w:val="0089134E"/>
    <w:rsid w:val="00891E22"/>
    <w:rsid w:val="008B2D16"/>
    <w:rsid w:val="008B50FA"/>
    <w:rsid w:val="008B6AAA"/>
    <w:rsid w:val="008D1137"/>
    <w:rsid w:val="008F723B"/>
    <w:rsid w:val="00903A17"/>
    <w:rsid w:val="0091583B"/>
    <w:rsid w:val="00920CA6"/>
    <w:rsid w:val="00945E44"/>
    <w:rsid w:val="009502D9"/>
    <w:rsid w:val="0095117A"/>
    <w:rsid w:val="009556F3"/>
    <w:rsid w:val="00961280"/>
    <w:rsid w:val="009643F0"/>
    <w:rsid w:val="009759F2"/>
    <w:rsid w:val="00976A42"/>
    <w:rsid w:val="00977898"/>
    <w:rsid w:val="00994450"/>
    <w:rsid w:val="00997BF6"/>
    <w:rsid w:val="009A4274"/>
    <w:rsid w:val="009A7961"/>
    <w:rsid w:val="009A7F6A"/>
    <w:rsid w:val="009B29CD"/>
    <w:rsid w:val="009B4432"/>
    <w:rsid w:val="009B536D"/>
    <w:rsid w:val="009C1F08"/>
    <w:rsid w:val="009C3802"/>
    <w:rsid w:val="009C393C"/>
    <w:rsid w:val="009E2765"/>
    <w:rsid w:val="009E2804"/>
    <w:rsid w:val="009F6CF1"/>
    <w:rsid w:val="009F72B8"/>
    <w:rsid w:val="009F7DD8"/>
    <w:rsid w:val="00A14C54"/>
    <w:rsid w:val="00A33CA7"/>
    <w:rsid w:val="00A44792"/>
    <w:rsid w:val="00A811C4"/>
    <w:rsid w:val="00A94FAF"/>
    <w:rsid w:val="00AA10BF"/>
    <w:rsid w:val="00AA4C65"/>
    <w:rsid w:val="00AA77F7"/>
    <w:rsid w:val="00AB35E9"/>
    <w:rsid w:val="00AC1483"/>
    <w:rsid w:val="00AF2DE4"/>
    <w:rsid w:val="00AF5A83"/>
    <w:rsid w:val="00AF6CB8"/>
    <w:rsid w:val="00B03B43"/>
    <w:rsid w:val="00B04198"/>
    <w:rsid w:val="00B12FE8"/>
    <w:rsid w:val="00B22452"/>
    <w:rsid w:val="00B33A36"/>
    <w:rsid w:val="00B366CD"/>
    <w:rsid w:val="00B4635B"/>
    <w:rsid w:val="00B620E4"/>
    <w:rsid w:val="00B626D0"/>
    <w:rsid w:val="00B65D45"/>
    <w:rsid w:val="00B7172C"/>
    <w:rsid w:val="00B72E8C"/>
    <w:rsid w:val="00B739C2"/>
    <w:rsid w:val="00B81927"/>
    <w:rsid w:val="00B856EA"/>
    <w:rsid w:val="00B919B4"/>
    <w:rsid w:val="00BB0F2F"/>
    <w:rsid w:val="00BC4982"/>
    <w:rsid w:val="00BD1538"/>
    <w:rsid w:val="00BD7379"/>
    <w:rsid w:val="00BE0723"/>
    <w:rsid w:val="00BF698F"/>
    <w:rsid w:val="00C021F6"/>
    <w:rsid w:val="00C16F05"/>
    <w:rsid w:val="00C20CCA"/>
    <w:rsid w:val="00C20D0A"/>
    <w:rsid w:val="00C220F3"/>
    <w:rsid w:val="00C460BC"/>
    <w:rsid w:val="00C47ACD"/>
    <w:rsid w:val="00C826C1"/>
    <w:rsid w:val="00C87630"/>
    <w:rsid w:val="00CA56DA"/>
    <w:rsid w:val="00CB467B"/>
    <w:rsid w:val="00CB5099"/>
    <w:rsid w:val="00CC051D"/>
    <w:rsid w:val="00CC4925"/>
    <w:rsid w:val="00CD7FBC"/>
    <w:rsid w:val="00CE0213"/>
    <w:rsid w:val="00CF1330"/>
    <w:rsid w:val="00CF241B"/>
    <w:rsid w:val="00CF5311"/>
    <w:rsid w:val="00D06FFF"/>
    <w:rsid w:val="00D266DC"/>
    <w:rsid w:val="00D26A2F"/>
    <w:rsid w:val="00D500A7"/>
    <w:rsid w:val="00D57D61"/>
    <w:rsid w:val="00D602E5"/>
    <w:rsid w:val="00D649C2"/>
    <w:rsid w:val="00D70C33"/>
    <w:rsid w:val="00D975D3"/>
    <w:rsid w:val="00DA65E0"/>
    <w:rsid w:val="00DC44C4"/>
    <w:rsid w:val="00DC450D"/>
    <w:rsid w:val="00DD0D9E"/>
    <w:rsid w:val="00DF4CDC"/>
    <w:rsid w:val="00E02F92"/>
    <w:rsid w:val="00E2649B"/>
    <w:rsid w:val="00E30177"/>
    <w:rsid w:val="00E40607"/>
    <w:rsid w:val="00E406E2"/>
    <w:rsid w:val="00E62F6B"/>
    <w:rsid w:val="00E913B2"/>
    <w:rsid w:val="00EA1281"/>
    <w:rsid w:val="00EA3CF2"/>
    <w:rsid w:val="00EA51AC"/>
    <w:rsid w:val="00EB1190"/>
    <w:rsid w:val="00ED104A"/>
    <w:rsid w:val="00EF0019"/>
    <w:rsid w:val="00EF099E"/>
    <w:rsid w:val="00F36942"/>
    <w:rsid w:val="00F425D8"/>
    <w:rsid w:val="00F91FD0"/>
    <w:rsid w:val="00F921F2"/>
    <w:rsid w:val="00FB1B97"/>
    <w:rsid w:val="00FC06FB"/>
    <w:rsid w:val="00FC2FD0"/>
    <w:rsid w:val="00FC494F"/>
    <w:rsid w:val="00FD47DC"/>
    <w:rsid w:val="00FD55E8"/>
    <w:rsid w:val="00FF77D4"/>
    <w:rsid w:val="056874D4"/>
    <w:rsid w:val="1F632DE3"/>
    <w:rsid w:val="2E5C1A2C"/>
    <w:rsid w:val="4ECF2901"/>
    <w:rsid w:val="6E98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Arial"/>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cs="Times New Roman"/>
      <w:kern w:val="2"/>
      <w:sz w:val="21"/>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eastAsia="黑体"/>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rFonts w:ascii="Calibri" w:hAnsi="Calibri" w:cs="Arial"/>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Calibri" w:hAnsi="Calibri" w:cs="Arial"/>
      <w:sz w:val="18"/>
      <w:szCs w:val="18"/>
    </w:rPr>
  </w:style>
  <w:style w:type="paragraph" w:styleId="a5">
    <w:name w:val="Normal (Web)"/>
    <w:basedOn w:val="a"/>
    <w:pPr>
      <w:spacing w:after="150"/>
      <w:jc w:val="left"/>
    </w:pPr>
    <w:rPr>
      <w:kern w:val="0"/>
      <w:sz w:val="24"/>
      <w:szCs w:val="24"/>
    </w:rPr>
  </w:style>
  <w:style w:type="character" w:styleId="a6">
    <w:name w:val="FollowedHyperlink"/>
    <w:basedOn w:val="a0"/>
    <w:rPr>
      <w:color w:val="800080"/>
      <w:u w:val="single"/>
    </w:rPr>
  </w:style>
  <w:style w:type="character" w:styleId="a7">
    <w:name w:val="Hyperlink"/>
    <w:rPr>
      <w:color w:val="0000FF"/>
      <w:u w:val="single"/>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Char">
    <w:name w:val="页脚 Char"/>
    <w:basedOn w:val="a0"/>
    <w:link w:val="a3"/>
    <w:uiPriority w:val="99"/>
    <w:rPr>
      <w:rFonts w:ascii="Calibri" w:hAnsi="Calibri"/>
      <w:kern w:val="2"/>
      <w:sz w:val="18"/>
      <w:szCs w:val="18"/>
    </w:rPr>
  </w:style>
  <w:style w:type="character" w:customStyle="1" w:styleId="highlight">
    <w:name w:val="highlight"/>
    <w:basedOn w:val="a0"/>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Arial"/>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cs="Times New Roman"/>
      <w:kern w:val="2"/>
      <w:sz w:val="21"/>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eastAsia="黑体"/>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rFonts w:ascii="Calibri" w:hAnsi="Calibri" w:cs="Arial"/>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Calibri" w:hAnsi="Calibri" w:cs="Arial"/>
      <w:sz w:val="18"/>
      <w:szCs w:val="18"/>
    </w:rPr>
  </w:style>
  <w:style w:type="paragraph" w:styleId="a5">
    <w:name w:val="Normal (Web)"/>
    <w:basedOn w:val="a"/>
    <w:pPr>
      <w:spacing w:after="150"/>
      <w:jc w:val="left"/>
    </w:pPr>
    <w:rPr>
      <w:kern w:val="0"/>
      <w:sz w:val="24"/>
      <w:szCs w:val="24"/>
    </w:rPr>
  </w:style>
  <w:style w:type="character" w:styleId="a6">
    <w:name w:val="FollowedHyperlink"/>
    <w:basedOn w:val="a0"/>
    <w:rPr>
      <w:color w:val="800080"/>
      <w:u w:val="single"/>
    </w:rPr>
  </w:style>
  <w:style w:type="character" w:styleId="a7">
    <w:name w:val="Hyperlink"/>
    <w:rPr>
      <w:color w:val="0000FF"/>
      <w:u w:val="single"/>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Char">
    <w:name w:val="页脚 Char"/>
    <w:basedOn w:val="a0"/>
    <w:link w:val="a3"/>
    <w:uiPriority w:val="99"/>
    <w:rPr>
      <w:rFonts w:ascii="Calibri" w:hAnsi="Calibri"/>
      <w:kern w:val="2"/>
      <w:sz w:val="18"/>
      <w:szCs w:val="18"/>
    </w:rPr>
  </w:style>
  <w:style w:type="character" w:customStyle="1" w:styleId="highlight">
    <w:name w:val="highlight"/>
    <w:basedOn w:val="a0"/>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1C47E8C-1A13-4759-B2FB-AD1FE0C3149D}">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419</Words>
  <Characters>2390</Characters>
  <Application>Microsoft Office Word</Application>
  <DocSecurity>0</DocSecurity>
  <Lines>19</Lines>
  <Paragraphs>5</Paragraphs>
  <ScaleCrop>false</ScaleCrop>
  <Company>china</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于凡</cp:lastModifiedBy>
  <cp:revision>49</cp:revision>
  <cp:lastPrinted>2025-10-23T06:40:00Z</cp:lastPrinted>
  <dcterms:created xsi:type="dcterms:W3CDTF">2025-08-29T07:18:00Z</dcterms:created>
  <dcterms:modified xsi:type="dcterms:W3CDTF">2026-04-17T09:00:00Z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eyJoZGlkIjoiOWZiMDA1MDBkNzAyNTlkNjFjNTA2OTZmYzliMDZhZWMiLCJ1c2VySWQiOiI0MzEwMTc4ODMifQ==</vt:lpwstr>
  </property>
  <property fmtid="{D5CDD505-2E9C-101B-9397-08002B2CF9AE}" pid="3" name="KSOProductBuildVer">
    <vt:lpwstr>2052-12.1.0.25225</vt:lpwstr>
  </property>
  <property fmtid="{D5CDD505-2E9C-101B-9397-08002B2CF9AE}" pid="4" name="ICV">
    <vt:lpwstr>408C9BD8F0BF4832880E6F951A875750_12</vt:lpwstr>
  </property>
</Properties>
</file>