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27A4">
      <w:pPr>
        <w:pStyle w:val="2"/>
        <w:rPr>
          <w:rFonts w:ascii="宋体" w:hAnsi="宋体" w:eastAsia="宋体" w:cs="宋体"/>
          <w:sz w:val="20"/>
          <w:szCs w:val="20"/>
          <w:lang w:val="en-US"/>
        </w:rPr>
      </w:pPr>
      <w:bookmarkStart w:id="1" w:name="_GoBack"/>
      <w:bookmarkEnd w:id="1"/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证券代码：600872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证券简称：中炬高新</w:t>
      </w:r>
    </w:p>
    <w:p w14:paraId="5701D4CB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6728E00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中炬高新技术实业（集团）股份有限公司</w:t>
      </w:r>
    </w:p>
    <w:p w14:paraId="49A8C0C2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5E7B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3F7CEA8E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77C581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F8B3D22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E482418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1324FA26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0D14826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51746D0C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AC49202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0CFA7DC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5E4EA85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40367775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8B71DCA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/>
              </w:rPr>
              <w:t xml:space="preserve"> </w:t>
            </w:r>
            <w:bookmarkStart w:id="0" w:name="OLE_LINK1"/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/>
              </w:rPr>
              <w:t>2025年年度报告暨2026年第一季度报告</w:t>
            </w:r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/>
              </w:rPr>
              <w:t>投资者线上交流会</w:t>
            </w:r>
          </w:p>
        </w:tc>
      </w:tr>
      <w:tr w14:paraId="002EC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62C74154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0DDDF08">
            <w:pPr>
              <w:pStyle w:val="12"/>
              <w:spacing w:before="100" w:beforeAutospacing="1" w:line="360" w:lineRule="auto"/>
              <w:rPr>
                <w:rFonts w:cs="宋体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  <w:t>线上参与中信建投举办的中炬高新2025年年度报告暨2026年第一季度报告投资者交流会的全体投资者</w:t>
            </w:r>
          </w:p>
        </w:tc>
      </w:tr>
      <w:tr w14:paraId="74245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B41B14F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2B489E3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 10:00-11:00</w:t>
            </w:r>
          </w:p>
        </w:tc>
      </w:tr>
      <w:tr w14:paraId="01C7B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93FA226">
            <w:pPr>
              <w:pStyle w:val="12"/>
              <w:ind w:left="107"/>
              <w:rPr>
                <w:rFonts w:hint="default" w:cs="宋体" w:asciiTheme="minorEastAsia" w:hAnsiTheme="minorEastAsia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lang w:val="en-US" w:eastAsia="zh-CN"/>
              </w:rPr>
              <w:t>交流平台</w:t>
            </w:r>
          </w:p>
        </w:tc>
        <w:tc>
          <w:tcPr>
            <w:tcW w:w="5945" w:type="dxa"/>
            <w:vAlign w:val="center"/>
          </w:tcPr>
          <w:p w14:paraId="22AE8773">
            <w:pPr>
              <w:pStyle w:val="12"/>
              <w:spacing w:before="100" w:beforeAutospacing="1" w:line="360" w:lineRule="auto"/>
              <w:rPr>
                <w:rFonts w:cs="宋体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  <w:t>中信建投入门财经平台</w:t>
            </w:r>
          </w:p>
        </w:tc>
      </w:tr>
      <w:tr w14:paraId="0E92B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5F7E481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4E53382E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董事长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黎汝雄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副董事长 余健华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总经理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余向阳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董事、常务副总经理兼财务负责人 林颖</w:t>
            </w:r>
          </w:p>
        </w:tc>
      </w:tr>
      <w:tr w14:paraId="60DA7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4FE4E07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2A60F0E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48B2445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B0271D9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F9863A7">
            <w:pPr>
              <w:spacing w:line="400" w:lineRule="exact"/>
              <w:ind w:firstLine="402" w:firstLineChars="20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1.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公司2025年及2026年一季度业绩的整体情况如何？渠道库存、终端动销及毛利率等关键指标有哪些变化？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 xml:space="preserve">    2025年公司业绩与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三季度报趋势一致，业务和市场自下半年起明显好转：2025年末渠道库存2.5倍以下（行业健康线以下）；2025年下半年终端动销环比改善10%以上，主要单品在主要区域价格基本恢复，经销商提货节奏符合预期。</w:t>
            </w:r>
          </w:p>
          <w:p w14:paraId="1BDCCDFE">
            <w:pPr>
              <w:spacing w:line="400" w:lineRule="exact"/>
              <w:ind w:firstLine="400" w:firstLineChars="20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2026年一季度集团合并营收13.2亿元（同比+19.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%），归母净利润2.63亿元（同比+45.11%），调味品板块毛利率达42%（历史最高水平），经营性现金流3.44亿元（同比+192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.16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%）。此外，公司于2026年初通过外延并购的方式，完成了复调产品及生产平台的落地，味滋美于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3月1日起并表。</w:t>
            </w:r>
          </w:p>
          <w:p w14:paraId="3D37ACDE"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市值维护方面，2025年下半年，火炬集团增持股份近4亿元，成为公司控股股东；2025年底公司宣布3-6亿股份回购计划并推进；公司董事长也进行了个人增持。</w:t>
            </w:r>
          </w:p>
          <w:p w14:paraId="58B849C7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b/>
                <w:bCs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2.除低基数外，公司2025年至2026年一季度业绩反弹的市场策略调整及积极因素有哪些？</w:t>
            </w:r>
          </w:p>
          <w:p w14:paraId="4677FC0D"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ascii="宋体" w:hAnsi="宋体" w:eastAsia="宋体" w:cs="宋体"/>
                <w:sz w:val="20"/>
                <w:lang w:val="en-US"/>
              </w:rPr>
              <w:t>公司2025年围绕“强基、多样、高效”管理主题开展组织能力、体系、流程及系统建设：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（1）</w:t>
            </w:r>
            <w:r>
              <w:rPr>
                <w:rFonts w:ascii="宋体" w:hAnsi="宋体" w:eastAsia="宋体" w:cs="宋体"/>
                <w:sz w:val="20"/>
                <w:lang w:val="en-US"/>
              </w:rPr>
              <w:t>从仅关注销售额转向数据驱动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0"/>
                <w:lang w:val="en-US"/>
              </w:rPr>
              <w:t>资源投放与终端服务；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（2）</w:t>
            </w:r>
            <w:r>
              <w:rPr>
                <w:rFonts w:ascii="宋体" w:hAnsi="宋体" w:eastAsia="宋体" w:cs="宋体"/>
                <w:sz w:val="20"/>
                <w:lang w:val="en-US"/>
              </w:rPr>
              <w:t>强化过程管理，包括安全库存、价格多维度对比、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严控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窜</w:t>
            </w:r>
            <w:r>
              <w:rPr>
                <w:rFonts w:ascii="宋体" w:hAnsi="宋体" w:eastAsia="宋体" w:cs="宋体"/>
                <w:sz w:val="20"/>
                <w:lang w:val="en-US"/>
              </w:rPr>
              <w:t>货、产品区隔、电商管理等；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（3）建立全国市场联盟管理委员会，充分发挥经销商的主观能动性，联合开展经销商经营健康趋势指标相关经营工作</w:t>
            </w:r>
            <w:r>
              <w:rPr>
                <w:rFonts w:ascii="宋体" w:hAnsi="宋体" w:eastAsia="宋体" w:cs="宋体"/>
                <w:sz w:val="20"/>
                <w:lang w:val="en-US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（4）</w:t>
            </w:r>
            <w:r>
              <w:rPr>
                <w:rFonts w:ascii="宋体" w:hAnsi="宋体" w:eastAsia="宋体" w:cs="宋体"/>
                <w:sz w:val="20"/>
                <w:lang w:val="en-US"/>
              </w:rPr>
              <w:t>解决了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sz w:val="2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年至20</w:t>
            </w:r>
            <w:r>
              <w:rPr>
                <w:rFonts w:ascii="宋体" w:hAnsi="宋体" w:eastAsia="宋体" w:cs="宋体"/>
                <w:sz w:val="20"/>
                <w:lang w:val="en-US"/>
              </w:rPr>
              <w:t>25年事业部区域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授权</w:t>
            </w:r>
            <w:r>
              <w:rPr>
                <w:rFonts w:ascii="宋体" w:hAnsi="宋体" w:eastAsia="宋体" w:cs="宋体"/>
                <w:sz w:val="20"/>
                <w:lang w:val="en-US"/>
              </w:rPr>
              <w:t>导致的市场管理紊乱问题，形成厨邦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特色</w:t>
            </w:r>
            <w:r>
              <w:rPr>
                <w:rFonts w:ascii="宋体" w:hAnsi="宋体" w:eastAsia="宋体" w:cs="宋体"/>
                <w:sz w:val="20"/>
                <w:lang w:val="en-US"/>
              </w:rPr>
              <w:t>渠道管理模式。2026年将持续在该营销策略下，从渠道、价格、场所、促销等方面提升管理体系能力。</w:t>
            </w:r>
          </w:p>
          <w:p w14:paraId="10D2E909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b/>
                <w:bCs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3.20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25年及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26年一季度产品收入拆分情况、增长较快的品类，以及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26年产品重点和运营策略；华东、华南区域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26年一季度增长表现差异的原因，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26年区域修复策略是什么？</w:t>
            </w:r>
          </w:p>
          <w:p w14:paraId="04BE0684"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ascii="宋体" w:hAnsi="宋体" w:eastAsia="宋体" w:cs="宋体"/>
                <w:sz w:val="20"/>
                <w:lang w:val="en-US"/>
              </w:rPr>
              <w:t>区域方面：华东市场因渠道布局合理、经销商隶属关系清晰，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sz w:val="20"/>
                <w:lang w:val="en-US"/>
              </w:rPr>
              <w:t>26年一季度增长较快；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华南市场受价格修复因素影响，增长速度较华东市场缓慢</w:t>
            </w:r>
            <w:r>
              <w:rPr>
                <w:rFonts w:ascii="宋体" w:hAnsi="宋体" w:eastAsia="宋体" w:cs="宋体"/>
                <w:sz w:val="20"/>
                <w:lang w:val="en-US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sz w:val="20"/>
                <w:lang w:val="en-US"/>
              </w:rPr>
              <w:t>26年公司将五个省的渠道建设列为重点业务事项，计划结合基础调味品与复合调味品战略，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按优先级</w:t>
            </w:r>
            <w:r>
              <w:rPr>
                <w:rFonts w:ascii="宋体" w:hAnsi="宋体" w:eastAsia="宋体" w:cs="宋体"/>
                <w:sz w:val="20"/>
                <w:lang w:val="en-US"/>
              </w:rPr>
              <w:t>优化渠道体系，解决执行干扰问题。产品方面：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过往销售考核较为粗放，一线人员尚未实现从销售管理到经营管理的转变。20</w:t>
            </w:r>
            <w:r>
              <w:rPr>
                <w:rFonts w:ascii="宋体" w:hAnsi="宋体" w:eastAsia="宋体" w:cs="宋体"/>
                <w:sz w:val="20"/>
                <w:lang w:val="en-US"/>
              </w:rPr>
              <w:t>25年建立业财管理体系，通过经营损益表实现分品类、分产品、分区域、分渠道的多维度评估。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20</w:t>
            </w:r>
            <w:r>
              <w:rPr>
                <w:rFonts w:ascii="宋体" w:hAnsi="宋体" w:eastAsia="宋体" w:cs="宋体"/>
                <w:sz w:val="20"/>
                <w:lang w:val="en-US"/>
              </w:rPr>
              <w:t>26年将聚焦重点产品，开发创新品类，在产品不同成长阶段匹配促销资源和组织资源，保障产品健康发展。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区域与产品发展不均衡是历史问题，2026年我们将通过组织能力、体系能力及工具模板的建设，为未来的均衡发展提供有力支撑。</w:t>
            </w:r>
          </w:p>
          <w:p w14:paraId="1B73114A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4.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请介绍味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滋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美的基本情况（包括25年收入、利润、支付对价、一季度收入贡献），以及与中炬高新的协同整合、未来并购和资本开支计划。</w:t>
            </w:r>
          </w:p>
          <w:p w14:paraId="7514EE0A">
            <w:pPr>
              <w:spacing w:line="400" w:lineRule="exact"/>
              <w:ind w:firstLine="400" w:firstLineChars="200"/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味滋美以川式复合调味料为主营方向，专注于B端餐饮定制化服务。其川式复合调味料与厨邦的基础调味料形成互补，而其B端定制化服务、柔性生产及供应链能力，可有效缩短厨邦切入复合调味料赛道的周期，目前双方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正在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推进业务协同对接。此次收购是公司“再造一个厨邦”战略中基础调味料与复合调味料结合的重要举措。味滋美原有火锅底料、菜谱式调料及部分预制菜业务，在成本管控、产品创新及服务头部B端品牌方面具备综合优势，未来将结合公司战略进行生产布局优化、产品重塑与研发调整，为公司复合调味料战略提供产品研发与柔性供应链支撑。</w:t>
            </w:r>
          </w:p>
          <w:p w14:paraId="2D5C1BF8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b/>
                <w:bCs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5.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2026年调味品主业的成本和毛利率如何展望？在成本变化背景下，公司会在什么情况下触发提价？</w:t>
            </w:r>
          </w:p>
          <w:p w14:paraId="40A84F79">
            <w:pPr>
              <w:spacing w:line="400" w:lineRule="exact"/>
              <w:ind w:firstLine="400" w:firstLineChars="200"/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成本方面，受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国际形势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影响，公司已监测到原材料及其衍生的塑料制品、化工产品价格波动，目前已联合外部专家建立完整的价格监控体系，每周发布趋势预告，制定成本上涨额度预案。核心受影响的原材料为包材（化工产品类）和黄豆，物流费用等可通过年度成本优化自主消化；若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国际形势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持续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紧张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，除强化成本控制外，公司还将考虑其他应对措施。提价方面，公司正密切关注原材料上涨趋势及上涨幅度是否可消化，以保障预算利润目标的达成，同时持续监控重点品牌主销产品的价格变动趋势。</w:t>
            </w:r>
          </w:p>
          <w:p w14:paraId="523F4A40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6.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25年公司销售费用率提升较多的原因是什么？26年销售费用率、毛利率及管理费用率有何展望？</w:t>
            </w:r>
          </w:p>
          <w:p w14:paraId="1B2006AE">
            <w:pPr>
              <w:spacing w:line="400" w:lineRule="exact"/>
              <w:ind w:firstLine="400" w:firstLineChars="200"/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2025年销售费用率上升，主要是由于2024年底高库存问题叠加促销费用未按品类精准投放，引发价格波动，公司为维护渠道稳定需投入额外资源。2026年销售费用率管控将采取总部统筹部分主产品价格稳定机制，动销费用按产品、分区域精准配置，并结合2025年建立的市场健康管理指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开展月度、季度评估与动态调整，2026年一季度已呈现合理有效的费效比组合。成本管理方面，2026年公司成立效能管理中心，打破部门壁垒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构建大供应链模式，匹配IT理念按优先级推进优化，同时制定IT系统投放计划，以精准数据驱动部门协同联动。原材料成本管控上，对内持续优化大供应链成本结构，对外提前做好风险应对预案。</w:t>
            </w:r>
          </w:p>
          <w:p w14:paraId="3D865C46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7.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请介绍公司的新产品战略、目前研发重点、研发成效及后续资源投放的重点品类？</w:t>
            </w:r>
          </w:p>
          <w:p w14:paraId="35883C40">
            <w:pPr>
              <w:spacing w:line="400" w:lineRule="exact"/>
              <w:ind w:firstLine="400" w:firstLineChars="20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ascii="宋体" w:hAnsi="宋体" w:eastAsia="宋体" w:cs="宋体"/>
                <w:sz w:val="20"/>
                <w:lang w:val="en-US"/>
              </w:rPr>
              <w:t>公司围绕战略调整产品矩阵，成立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了</w:t>
            </w:r>
            <w:r>
              <w:rPr>
                <w:rFonts w:ascii="宋体" w:hAnsi="宋体" w:eastAsia="宋体" w:cs="宋体"/>
                <w:sz w:val="20"/>
                <w:lang w:val="en-US"/>
              </w:rPr>
              <w:t>以产品中心为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引领</w:t>
            </w:r>
            <w:r>
              <w:rPr>
                <w:rFonts w:ascii="宋体" w:hAnsi="宋体" w:eastAsia="宋体" w:cs="宋体"/>
                <w:sz w:val="20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厨邦食品</w:t>
            </w:r>
            <w:r>
              <w:rPr>
                <w:rFonts w:ascii="宋体" w:hAnsi="宋体" w:eastAsia="宋体" w:cs="宋体"/>
                <w:sz w:val="20"/>
                <w:lang w:val="en-US"/>
              </w:rPr>
              <w:t>研究院、营销中心、销管部及全国市场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联盟</w:t>
            </w:r>
            <w:r>
              <w:rPr>
                <w:rFonts w:ascii="宋体" w:hAnsi="宋体" w:eastAsia="宋体" w:cs="宋体"/>
                <w:sz w:val="20"/>
                <w:lang w:val="en-US"/>
              </w:rPr>
              <w:t>管理委员会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等</w:t>
            </w:r>
            <w:r>
              <w:rPr>
                <w:rFonts w:ascii="宋体" w:hAnsi="宋体" w:eastAsia="宋体" w:cs="宋体"/>
                <w:sz w:val="20"/>
                <w:lang w:val="en-US"/>
              </w:rPr>
              <w:t>多方联动的产品体系组织。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在基础调味品领域：酱油作为核心品类，其健康营养相关产品已完成立项、小试和中试，目前处于不同的发展阶段；鸡精（粉）、蚝油则针对川渝、团餐等不同渠道场景的需求，开展对标研发与产品储备；料酒、醋等品类结合全国市场份额目标推进投放，基础调味品是实现“再造一个厨邦”目标的主体。在</w:t>
            </w:r>
            <w:r>
              <w:rPr>
                <w:rFonts w:ascii="宋体" w:hAnsi="宋体" w:eastAsia="宋体" w:cs="宋体"/>
                <w:sz w:val="20"/>
                <w:lang w:val="en-US"/>
              </w:rPr>
              <w:t>复合调味品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领域</w:t>
            </w:r>
            <w:r>
              <w:rPr>
                <w:rFonts w:ascii="宋体" w:hAnsi="宋体" w:eastAsia="宋体" w:cs="宋体"/>
                <w:sz w:val="20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公司正在</w:t>
            </w:r>
            <w:r>
              <w:rPr>
                <w:rFonts w:ascii="宋体" w:hAnsi="宋体" w:eastAsia="宋体" w:cs="宋体"/>
                <w:sz w:val="20"/>
                <w:lang w:val="en-US"/>
              </w:rPr>
              <w:t>开展产品趋势研究，关注其与基础调味品研发流程的差异，重点打造消费者需求洞察（大数据）、试品测评、推广及线上线下协同能力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。</w:t>
            </w:r>
          </w:p>
          <w:p w14:paraId="08CB4205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b/>
                <w:bCs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8.</w:t>
            </w:r>
            <w:r>
              <w:rPr>
                <w:rFonts w:ascii="宋体" w:hAnsi="宋体" w:eastAsia="宋体" w:cs="宋体"/>
                <w:b/>
                <w:bCs/>
                <w:sz w:val="20"/>
                <w:lang w:val="en-US"/>
              </w:rPr>
              <w:t>基础调味品未来获取增量的计划及主要增长抓手是什么？</w:t>
            </w:r>
          </w:p>
          <w:p w14:paraId="615614F0">
            <w:pPr>
              <w:spacing w:line="400" w:lineRule="exact"/>
              <w:ind w:firstLine="401"/>
              <w:jc w:val="both"/>
            </w:pPr>
            <w:r>
              <w:rPr>
                <w:rFonts w:hint="eastAsia" w:ascii="宋体" w:hAnsi="宋体" w:eastAsia="宋体" w:cs="宋体"/>
                <w:bCs/>
                <w:sz w:val="20"/>
                <w:lang w:val="en-US"/>
              </w:rPr>
              <w:t>基础调味品的增长抓手包括：（1）渠道推动：借助经销商健康体检表工具跟进终端数据，确保各渠道环节利润持续稳定高于主要竞争对手；（2）终端普查：公司投入资金协助经销商开展终端普查，填补因粗放管理造成的终端空白；（3）产品策略优化：摒弃过往跟随性策略，强化研发能力，推出既能满足消费者差异化需求、又能为渠道提供新利润支撑点的新产品。</w:t>
            </w:r>
          </w:p>
          <w:p w14:paraId="7BFDD877">
            <w:pPr>
              <w:spacing w:line="400" w:lineRule="exact"/>
              <w:ind w:firstLine="401"/>
              <w:rPr>
                <w:rFonts w:ascii="宋体" w:hAnsi="宋体" w:eastAsia="宋体" w:cs="宋体"/>
                <w:b/>
                <w:bCs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9.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多元化战略（复调、电商、团餐等）的进展及今年贡献指引如何？</w:t>
            </w:r>
          </w:p>
          <w:p w14:paraId="0EBD92CF">
            <w:pPr>
              <w:spacing w:line="400" w:lineRule="exact"/>
              <w:ind w:firstLine="401"/>
              <w:jc w:val="both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多元化战略进展：（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1）餐饮及团餐渠道：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正在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探索切入方式与适配产品，以解决客户实际需求；（2）内容电商合资公司：2025年处于筹备阶段，2026年将积极推进落地，定位为打造复合调味品从产品洞察、研发到消费场景的全链路组织能力。2026年各业务板块有望实现质的提升，生意模型将逐步摸索出可复制路径，未来将快速推广成功经验，以支撑战略增长目标。</w:t>
            </w:r>
          </w:p>
          <w:p w14:paraId="68ED2B87"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  <w:t>10.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从三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  <w:t>至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五年的长期维度来看，调味品业务在成本合理、叠加规模效应和生产效率提升的情况下，合理的净利率水平应该在什么位置？</w:t>
            </w:r>
          </w:p>
          <w:p w14:paraId="68399EA6">
            <w:pPr>
              <w:spacing w:line="400" w:lineRule="exact"/>
              <w:ind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公司认为，仅通过毛利率数值无法真实反映经营管理状况，需结合复调战略、不同品类产品的毛利率现状及发展阶段综合分析。公司将拆分支撑现金流与利润大盘的产品毛利率，针对性解决成本问题、系统性降低供应链成本，并通过新产品布局、供应链成本管控、费用精益化投放及适配不同区域发展需求，完善各区域毛利率结构。整体围绕阶段性战略目标设定利润与收入增长曲线，兼顾规模扩张与利润提升。</w:t>
            </w:r>
          </w:p>
          <w:p w14:paraId="0827311A">
            <w:pPr>
              <w:spacing w:line="400" w:lineRule="exact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  <w:t xml:space="preserve"> 董事长总结发言：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公司的改革举措兼顾短期与中长期发展考量，2026年第一季度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呈现业绩拐点。渠道管理方面，要求所有经销商实现盈利，通过严格管控将经销商存货降至渠道合理水平；资金策略上，将有效管理现金流，大股东已增持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股份近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4亿元人民币，充分彰显对公司的信心；董事会支持管理团队在年前开展3-6亿元的股份回购；股东回报层面，将优化ROE（净资产收益率）、ROS（销售回报率）表现，同时重视投资者意见，提升公司运营透明度；政企合作领域，政府对公司变革给予了大力支持。未来公司将密切应对市场变化（如原油、原材料价格波动），加强产品研发创新，以最优策略推动公司进入新的增长阶段。</w:t>
            </w:r>
          </w:p>
        </w:tc>
      </w:tr>
      <w:tr w14:paraId="37535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4274AA34">
            <w:pPr>
              <w:pStyle w:val="12"/>
              <w:spacing w:before="1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17B52710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11DEE7A2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37055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B2FA024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17116B4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无</w:t>
            </w:r>
          </w:p>
        </w:tc>
      </w:tr>
      <w:tr w14:paraId="205C9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7E2D19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905A98F">
            <w:pPr>
              <w:pStyle w:val="12"/>
              <w:spacing w:before="100" w:beforeAutospac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20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10AB781E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jZTMyMTIzOWRhOGU0MjczYmIyOWM2MjgxNGY3OTc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28C2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D42C4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56715"/>
    <w:rsid w:val="00CA1705"/>
    <w:rsid w:val="00CB03E2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3860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6A72A7B"/>
    <w:rsid w:val="08641132"/>
    <w:rsid w:val="09186774"/>
    <w:rsid w:val="0945438F"/>
    <w:rsid w:val="0A71587A"/>
    <w:rsid w:val="0A751D26"/>
    <w:rsid w:val="0B5F3925"/>
    <w:rsid w:val="0B792C38"/>
    <w:rsid w:val="0C28640C"/>
    <w:rsid w:val="0E90599A"/>
    <w:rsid w:val="0ED720CD"/>
    <w:rsid w:val="108B5805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A8C60A2"/>
    <w:rsid w:val="1BD06B6A"/>
    <w:rsid w:val="1E59500A"/>
    <w:rsid w:val="1F782BDE"/>
    <w:rsid w:val="204A6A53"/>
    <w:rsid w:val="23317869"/>
    <w:rsid w:val="25650CAE"/>
    <w:rsid w:val="26406598"/>
    <w:rsid w:val="2686568A"/>
    <w:rsid w:val="28080056"/>
    <w:rsid w:val="28734C1A"/>
    <w:rsid w:val="28C72DDD"/>
    <w:rsid w:val="29EE0E64"/>
    <w:rsid w:val="2BC4020A"/>
    <w:rsid w:val="2C884799"/>
    <w:rsid w:val="2EF90F16"/>
    <w:rsid w:val="2F125C63"/>
    <w:rsid w:val="302C3D0A"/>
    <w:rsid w:val="3104598F"/>
    <w:rsid w:val="33DE31BB"/>
    <w:rsid w:val="33FF3F3C"/>
    <w:rsid w:val="36760AA0"/>
    <w:rsid w:val="3882670E"/>
    <w:rsid w:val="389C49C0"/>
    <w:rsid w:val="39BC78F4"/>
    <w:rsid w:val="3B35486F"/>
    <w:rsid w:val="3B365BA1"/>
    <w:rsid w:val="3D8C7CFA"/>
    <w:rsid w:val="3EF1250A"/>
    <w:rsid w:val="40567DB0"/>
    <w:rsid w:val="40604E40"/>
    <w:rsid w:val="40FF5CD2"/>
    <w:rsid w:val="42DB40B0"/>
    <w:rsid w:val="43B71B0A"/>
    <w:rsid w:val="44FA0589"/>
    <w:rsid w:val="45A663E3"/>
    <w:rsid w:val="469F09AF"/>
    <w:rsid w:val="4B756271"/>
    <w:rsid w:val="4C8E1CA8"/>
    <w:rsid w:val="4CA71D77"/>
    <w:rsid w:val="4D6D36A4"/>
    <w:rsid w:val="510903EF"/>
    <w:rsid w:val="53F137F4"/>
    <w:rsid w:val="543A6906"/>
    <w:rsid w:val="56301712"/>
    <w:rsid w:val="565921E0"/>
    <w:rsid w:val="56850CBB"/>
    <w:rsid w:val="59D80F30"/>
    <w:rsid w:val="59D8738A"/>
    <w:rsid w:val="5A666D76"/>
    <w:rsid w:val="5A814857"/>
    <w:rsid w:val="5B2253C2"/>
    <w:rsid w:val="5B8A284D"/>
    <w:rsid w:val="5CF02E0F"/>
    <w:rsid w:val="5D2E002E"/>
    <w:rsid w:val="603269D2"/>
    <w:rsid w:val="60A24FBB"/>
    <w:rsid w:val="60A81824"/>
    <w:rsid w:val="61655490"/>
    <w:rsid w:val="61A52BCA"/>
    <w:rsid w:val="651A5A67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E3D27C7"/>
    <w:rsid w:val="6F134790"/>
    <w:rsid w:val="6FE81F5F"/>
    <w:rsid w:val="71C80A97"/>
    <w:rsid w:val="72446028"/>
    <w:rsid w:val="73076EC0"/>
    <w:rsid w:val="74210CA6"/>
    <w:rsid w:val="746F4E76"/>
    <w:rsid w:val="76430096"/>
    <w:rsid w:val="78474A20"/>
    <w:rsid w:val="788C25F5"/>
    <w:rsid w:val="79F72AA9"/>
    <w:rsid w:val="7A144529"/>
    <w:rsid w:val="7DD37FAE"/>
    <w:rsid w:val="7E6A3164"/>
    <w:rsid w:val="7E9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1dda8b92-5c09-449f-939e-534caf513be1</errorID>
      <errorWord>3-6亿</errorWord>
      <group>L1_Knowledge</group>
      <groupName>知识性问题</groupName>
      <ability>L2_Knowledge</ability>
      <abilityName>其他知识</abilityName>
      <candidateList>
        <item>3亿—6亿</item>
      </candidateList>
      <explain>1. “3-6亿”中的单位“亿”仅出现在后一个数字上，容易引起歧义；根据《现代汉语标点符号数字用法规范手册》，数字表示范围两边需要使用统一的格式。2.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13E07B53</paraID>
      <start>52</start>
      <end>56</end>
      <status>unmodified</status>
      <modifiedWord/>
      <trackRevisions>false</trackRevisions>
    </reviewItem>
    <reviewItem>
      <errorID>b89a2589-0ecb-4256-a7cc-0e237d4ef3cb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584EB21F</paraID>
      <start>97</start>
      <end>100</end>
      <status>modified</status>
      <modifiedWord>正在</modifiedWord>
      <trackRevisions>true</trackRevisions>
    </reviewItem>
    <reviewItem>
      <errorID>657a13ee-bab0-4ecf-b351-018f4fc77021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30DA62FF</paraID>
      <start>19</start>
      <end>22</end>
      <status>modified</status>
      <modifiedWord>正在</modifiedWord>
      <trackRevisions>true</trackRevisions>
    </reviewItem>
    <reviewItem>
      <errorID>1495700b-5e33-4fac-94bf-3142593f78a7</errorID>
      <errorWord>3-6亿</errorWord>
      <group>L1_Knowledge</group>
      <groupName>知识性问题</groupName>
      <ability>L2_Knowledge</ability>
      <abilityName>其他知识</abilityName>
      <candidateList>
        <item>3亿—6亿</item>
      </candidateList>
      <explain>1. “3-6亿”中的单位“亿”仅出现在后一个数字上，容易引起歧义；根据《现代汉语标点符号数字用法规范手册》，数字表示范围两边需要使用统一的格式。2.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5B7192C8</paraID>
      <start>151</start>
      <end>155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customXml/itemProps2.xml><?xml version="1.0" encoding="utf-8"?>
<ds:datastoreItem xmlns:ds="http://schemas.openxmlformats.org/officeDocument/2006/customXml" ds:itemID="{2a7b0d76-3bae-40d0-8cea-949897cc2a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3382</Words>
  <Characters>3592</Characters>
  <Lines>26</Lines>
  <Paragraphs>7</Paragraphs>
  <TotalTime>3</TotalTime>
  <ScaleCrop>false</ScaleCrop>
  <LinksUpToDate>false</LinksUpToDate>
  <CharactersWithSpaces>3662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2026-04-20T10:13:00Z</dcterms:created>
  <dc:creator>jie.huang</dc:creator>
  <cp:lastModifiedBy>方方</cp:lastModifiedBy>
  <dcterms:modified xsi:type="dcterms:W3CDTF">2026-04-21T01:35:48Z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B913CA2FB9B44150976EC921DB825B82_13</vt:lpwstr>
  </property>
  <property fmtid="{D5CDD505-2E9C-101B-9397-08002B2CF9AE}" pid="4" name="KSOTemplateDocerSaveRecord">
    <vt:lpwstr>eyJoZGlkIjoiZGU5M2FmY2ZhMDRiYmQ3NzIyOTc4MTY3NzZkNmMxYjIiLCJ1c2VySWQiOiIxOTUzMjY0OTUifQ==</vt:lpwstr>
  </property>
</Properties>
</file>