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DF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601107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四川成渝</w:t>
      </w:r>
    </w:p>
    <w:p w14:paraId="7F637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债券代码：241012.SH                                           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>：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24成渝01</w:t>
      </w:r>
    </w:p>
    <w:p w14:paraId="073DDECF">
      <w:pPr>
        <w:spacing w:line="360" w:lineRule="auto"/>
        <w:jc w:val="left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 xml:space="preserve">债券代码：102485587 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                                  </w:t>
      </w:r>
      <w:bookmarkStart w:id="0" w:name="_GoBack"/>
      <w:bookmarkEnd w:id="0"/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债券简称：24成渝高速MTN001</w:t>
      </w:r>
    </w:p>
    <w:p w14:paraId="78E9E719">
      <w:pPr>
        <w:spacing w:line="360" w:lineRule="auto"/>
        <w:jc w:val="center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</w:p>
    <w:p w14:paraId="6522CC8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四川成渝高速公路股份有限公司</w:t>
      </w:r>
    </w:p>
    <w:p w14:paraId="638DAA7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3EC2F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337ADFEF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A8D4DE8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4957DCA7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5A92CCB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16B30E0F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1D3108A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57232E9E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BF0DE7A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3CC29696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437D570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6FC8C623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884377A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6A62C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1FB5ADEA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925B9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线上参与四川成渝（601107）2025年年度业绩说明会的投资者</w:t>
            </w:r>
          </w:p>
        </w:tc>
      </w:tr>
      <w:tr w14:paraId="3ADE6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0E1AFF2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E01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2026年04月21日（星期二）10:00-11:00</w:t>
            </w:r>
          </w:p>
        </w:tc>
      </w:tr>
      <w:tr w14:paraId="276B2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63F5005E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454C159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240" w:lineRule="auto"/>
              <w:textAlignment w:val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上海证券交易所上证路演中心</w:t>
            </w:r>
          </w:p>
          <w:p w14:paraId="50AA03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24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（网址：https://roadshow.sseinfo.com/）</w:t>
            </w:r>
          </w:p>
        </w:tc>
      </w:tr>
      <w:tr w14:paraId="5E287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E652608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10B4BC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董事长：罗祖义</w:t>
            </w:r>
          </w:p>
          <w:p w14:paraId="71E5BD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副董事长、总经理：游志明</w:t>
            </w:r>
          </w:p>
          <w:p w14:paraId="2E27EA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董事、董事会秘书：姚建成</w:t>
            </w:r>
          </w:p>
          <w:p w14:paraId="7DDE54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财务总监：周静</w:t>
            </w:r>
          </w:p>
          <w:p w14:paraId="0CCDB7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24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独立董事：罗宏</w:t>
            </w:r>
          </w:p>
        </w:tc>
      </w:tr>
      <w:tr w14:paraId="31EAD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3E1FBC25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A5F133A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ECECD28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040BD66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42374DA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1.请问公司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25年四季度收入、利润下滑那么多，是什么原因？</w:t>
            </w:r>
          </w:p>
          <w:p w14:paraId="451A75D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一是由于2025年9月城北出口高速收费期限届满，因此2025年四季度收入、利润有所下降；二是由于2024年四季度公司养护成本压降效果集中体现，因此2024年四季度利润基数偏高；三是四季度计提部分减值损失导致。</w:t>
            </w:r>
          </w:p>
          <w:p w14:paraId="7BBCEC2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F79616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2.公司目前股息率多少？目前三年分红规划时间已经到了，是否会出新的分红规划？</w:t>
            </w:r>
          </w:p>
          <w:p w14:paraId="5826304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答：基于2026年4月20日收盘价，A股股息率为4.88%，H股股息率为5.92%。公司将充分考虑市场预期，严格遵循监管政策导向，继续坚持稳健、可持续的分红原则，致力于与广大股东共享公司发展成果，实现长期共赢。</w:t>
            </w:r>
          </w:p>
          <w:p w14:paraId="331D73C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E43370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3.2025年度的净资产收益率仅有8.53%，根据杜邦分析法，公司的总资产周转率较低，请问公司有计划提高净资产收益率或总资产周转率吗？</w:t>
            </w:r>
          </w:p>
          <w:p w14:paraId="1E3EB03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感谢您的关注与提问。2025年度公司净资产收益率8.53%、总资产周转率偏低，主要是由高速公路行业重资产、长周期、稳现金流的行业属性决定的。公司核心资产为高速公路特许经营权，具有投资规模大、运营周期长、资产周转天然偏缓的特点；同时收入主要来源于通行费和建造服务，前者受宏观经济、车流量、收费标准影响，后者受项目建设进度制约，也在一定程度上影响了整体周转效率。</w:t>
            </w:r>
          </w:p>
          <w:p w14:paraId="287B1CE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一直以来都高度重视资产运营质量和股东回报水平。未来，公司将继续坚持稳健经营的原则，持续深化数字化手段在运营管理中的应用，并积极拓展路衍经济等多元化业务，以此不断优化资产使用效率，促进综合盈利能力的稳步提升，为股东创造更稳健的回报。</w:t>
            </w:r>
          </w:p>
          <w:p w14:paraId="29AE4F7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6EF7DA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4.年报显示营业总收入同比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下降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15.48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，但是归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母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净利润同比增长3.72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%，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扣非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归母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净利润同比增长4.10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，请问公司是通过什么途径完成了在营收下滑的同时，利润却发生了增长？</w:t>
            </w:r>
          </w:p>
          <w:p w14:paraId="365FB33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2025年公司因天邛高速完成施工、成乐高速扩容项目施工进入尾声，建造服务成本相应减少，根据会计准则，建造服务成本同时计入营业收入和营业成本，因此该下降对利润总额不产生实质性影响，但直接压低了营收规模。同时，城北高速公路收费权于2025年9月到期，对营收端形成了一定影响。利润端实现逆势增长，主要得益于公司自2024年以来系统推进的降本增效措施，包括优化养护管理、严控财务成本、提升资金使用效率等。上述举措持续见效，有效对冲了营收端的不利影响，并推动盈利水平稳步提升。</w:t>
            </w:r>
          </w:p>
          <w:p w14:paraId="33C1EF0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AD3749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5.公司2025年年度报告的净现比高达约2.19，请问公司是通过哪些财务方式保持了如此优秀的现金流？</w:t>
            </w:r>
          </w:p>
          <w:p w14:paraId="4E5198D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答：一是公司属高速公路行业，高速公路特许经营权摊销、路段配套资产折旧等非付现成本占比较高；二是公司近年持续加大成本管控力度，压降各项付现支出。</w:t>
            </w:r>
          </w:p>
          <w:p w14:paraId="09A830E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B89645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6.公司与控股股东及其关联方的交易额占比较高。独立董事在审议相关交易时，如何确保定价公允性及对中小股东利益的保护？</w:t>
            </w:r>
          </w:p>
          <w:p w14:paraId="35E6D27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答：作为公司独立董事，在审议公司与控股股东及其关联方的关联交易事项时，我们严格按照法律法规、公司章程及关联交易审议程序履行职责，重点从定价公允性与中小股东利益保护两方面开展监督工作：</w:t>
            </w:r>
          </w:p>
          <w:p w14:paraId="09D1EEF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是强化定价依据核查，要求公司管理层充分提供同类业务市场公允价格、行业定价基准、与无关联第三方的实际交易价格等可比数据，涉及重大资产交易的，核查具备资质的第三方评估机构出具的专业评估报告，通过多维度市场对标验证定价合理性；</w:t>
            </w:r>
          </w:p>
          <w:p w14:paraId="4CBCBD3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二是规范审议决策流程，对达到相应标准的关联交易严格执行回避表决、专项审议等程序要求，独立审慎发表事前认可意见与独立意见；</w:t>
            </w:r>
          </w:p>
          <w:p w14:paraId="3D8ADD0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三是全过程监督信息披露，督促公司完整、准确、及时披露关联交易详情、定价依据及决策程序，保障中小股东知情权与监督权；</w:t>
            </w:r>
          </w:p>
          <w:p w14:paraId="7383C96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四是坚守独立判断立场，始终以维护公司整体利益及中小股东合法权益为核心，如存在公允性瑕疵或可能损害中小股东利益的关联交易，将坚决提出异议并督促整改，切实防范利益输送风险。</w:t>
            </w:r>
          </w:p>
          <w:p w14:paraId="2473AA1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F38ED3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7.公司跨界布局能源、金融等业务，独立董事如何评估跨行业经营中的管理能力风险和财务风险？董事会是否设立了新业务止损机制？</w:t>
            </w:r>
          </w:p>
          <w:p w14:paraId="5243DD5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感谢您的关注。公司能源产业（主要为高速公路加油站运营）及新能源业务（主要为高速路充换电业务）为公司主业的核心衍生业务，与公司主业具有强关联性，公司有能力在经营中把握管理风险及财务风险。公司未开展金融业务。公司系统性地设立了投后管理机制，明确了后评价的组织形式、分级管理、评价方法及工作程序，对投资业务实施全周期跟踪评价；一旦项目关键指标触及预设的财务或运营阈值，评价结果将直接启动纠偏程序，从而有效规避风险、保障公司资产安全。</w:t>
            </w:r>
          </w:p>
          <w:p w14:paraId="6A539B6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8.公司近年加大充电桩、光伏等能源业务布局。请问目前该板块的利用率、单桩盈利模型是否已达到预期？在竞争加剧的背景下，如何构建差异化优势？</w:t>
            </w:r>
          </w:p>
          <w:p w14:paraId="6220D75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2025年，公司充电平台“蜀道畅充”接入充电枪突破1万把，全年充电量突破1亿度，提供充电服务超560万次，同比增长61.58%。目前单桩利用率及盈利模型仍处于优化阶段，部分点位已实现正向收益。公司依托高速公路路网资源构建差异化优势，同时通过布局氢能、重卡换电等赛道，形成综合能源服务体系，区别于城市公共充电桩的单一竞争。</w:t>
            </w:r>
          </w:p>
          <w:p w14:paraId="39BA2D3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AC8103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9.公司股价长期低于净资产，且估值低于同业。请问除常规分红外，公司是否会考虑推动股份回购、提高分红比例或更积极的投资者沟通计划？未来在信息披露透明化（如定期披露车流量、项目进展数据）方面是否有优化方案？</w:t>
            </w:r>
          </w:p>
          <w:p w14:paraId="5D408C4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感谢您的关注，公司并非长期破净企业，市值与市净率目前处于行业中上水平。公司高度重视股东回报，2025年度分红比例达60.02%，股息率处于行业领先水平。关于股份回购，公司将根据资本市场环境、监管政策及公司资金状况审慎研究，目前暂无具体计划。未来将继续实施稳定的分红政策，同时加大路演、业绩说明会等沟通频次。</w:t>
            </w:r>
          </w:p>
          <w:p w14:paraId="519B326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8B829A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10.公司的ESG报告中提到绿色公路和低碳转型计划。作为地方国企，四川成渝在“双碳”目标下的具体实施路径是什么？如何量化ESG投入对长期盈利能力的提升作用？</w:t>
            </w:r>
          </w:p>
          <w:p w14:paraId="04825AA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公司高度重视“双碳”目标下的绿色转型，已在绿色公路建设、清洁能源替代、智慧运营降碳等方面形成了清晰的实施路径。对于ESG投入与长期盈利能力之间的量化关系，目前尚处于持续的跟踪与评估阶段。总体来看，我们认为ESG投入将通过降低能耗成本、提升资源利用效率、拓展绿色能源业务收入以及获取绿色融资成本优势等途径，逐步对公司盈利能力产生积极贡献。</w:t>
            </w:r>
          </w:p>
          <w:p w14:paraId="013C504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91846C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11.2025年报显示，部分路段受平行线路分流影响，车流量增速放缓。请问公司计划通过哪些具体措施（如智慧交通、差异化收费）提升存量路产效率？是否考虑通过并购整合四川省内其他路产来增强路网协同效应？</w:t>
            </w:r>
          </w:p>
          <w:p w14:paraId="0DC1174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一是寻找契机开展大客户引流，深入企业调研精准画像，锚定核心大客户群体，制定差异化优惠方案和优质客户增值服务方案，寻找业务增量；二是抓好重点路段保通保畅工作，最大限度缓解主干道拥堵压力，缩减重点路段平均缓行时长同比，实现缓堵增收；三是深度挖掘服务潜能，提升服务区等对外窗口的服务水准，吸引车流。公司将本着稳妥、谨慎的原则，在确保资金流与投资节奏相匹配的前提下，积极寻找优质路产标的，进一步强化路网协同效应，为全体股东创造持续稳健的回报。</w:t>
            </w:r>
          </w:p>
          <w:p w14:paraId="76075D7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191191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12.年报显示公司正从传统高速公路运营向“交通+能源+物流”延伸。在宏观经济增速放缓的背景下，公司如何平衡新业务的资本投入与主业现金流的安全边际？未来3年，新业务板块的目标营收贡献率是否有明确规划？</w:t>
            </w:r>
          </w:p>
          <w:p w14:paraId="79B0E9A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：本公司的主要业务为投资、建设、运营和管理省内部分高速公路项目，绿色能源投资业务以及沿线资源综合开发。公司以高速公路主业现金流为安全垫，新业务投入严控在自由现金流范围内滚动培育；未来三年主业仍是营收与利润的绝对基石，新业务作为增量方向，目前主要目标是打磨商业模式与运营能力，其营收贡献将视培育进度与市场环境动态把握。</w:t>
            </w:r>
          </w:p>
        </w:tc>
      </w:tr>
      <w:tr w14:paraId="2C49E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4CA37902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0424A635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601A9E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0E55B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C18F70D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52A4B6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182E8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68A0E77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B10F3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416DD3D1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0A56C4"/>
    <w:rsid w:val="0C28640C"/>
    <w:rsid w:val="0E90599A"/>
    <w:rsid w:val="0ED720CD"/>
    <w:rsid w:val="0FA70E95"/>
    <w:rsid w:val="104A3FCB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D1637C5"/>
    <w:rsid w:val="1F782BDE"/>
    <w:rsid w:val="204A6A53"/>
    <w:rsid w:val="23317869"/>
    <w:rsid w:val="25650CAE"/>
    <w:rsid w:val="26406598"/>
    <w:rsid w:val="28080056"/>
    <w:rsid w:val="28734C1A"/>
    <w:rsid w:val="28BE4F3C"/>
    <w:rsid w:val="28C72DDD"/>
    <w:rsid w:val="29EE0E64"/>
    <w:rsid w:val="2BC4020A"/>
    <w:rsid w:val="2EC111C7"/>
    <w:rsid w:val="2EF90F16"/>
    <w:rsid w:val="2F125C63"/>
    <w:rsid w:val="302C3D0A"/>
    <w:rsid w:val="3104598F"/>
    <w:rsid w:val="338B0EA4"/>
    <w:rsid w:val="33DE31BB"/>
    <w:rsid w:val="389C49C0"/>
    <w:rsid w:val="39BC78F4"/>
    <w:rsid w:val="3B35486F"/>
    <w:rsid w:val="3C663A5D"/>
    <w:rsid w:val="3C850B8E"/>
    <w:rsid w:val="3EF1250A"/>
    <w:rsid w:val="40567DB0"/>
    <w:rsid w:val="40FF5CD2"/>
    <w:rsid w:val="42DB40B0"/>
    <w:rsid w:val="43B71B0A"/>
    <w:rsid w:val="44FA0589"/>
    <w:rsid w:val="45A663E3"/>
    <w:rsid w:val="469F09AF"/>
    <w:rsid w:val="482A301C"/>
    <w:rsid w:val="4B756271"/>
    <w:rsid w:val="4C8E1CA8"/>
    <w:rsid w:val="4D6D36A4"/>
    <w:rsid w:val="4E3C73CC"/>
    <w:rsid w:val="4ECD0193"/>
    <w:rsid w:val="4F1F3703"/>
    <w:rsid w:val="510903EF"/>
    <w:rsid w:val="53F137F4"/>
    <w:rsid w:val="543A6906"/>
    <w:rsid w:val="56850CBB"/>
    <w:rsid w:val="59D8738A"/>
    <w:rsid w:val="5A0D2AEC"/>
    <w:rsid w:val="5A666D76"/>
    <w:rsid w:val="5B2253C2"/>
    <w:rsid w:val="5CF02E0F"/>
    <w:rsid w:val="603269D2"/>
    <w:rsid w:val="61A52BCA"/>
    <w:rsid w:val="65034879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  <w:rsid w:val="7E4C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3346</Words>
  <Characters>3545</Characters>
  <Lines>2</Lines>
  <Paragraphs>1</Paragraphs>
  <TotalTime>7</TotalTime>
  <ScaleCrop>false</ScaleCrop>
  <LinksUpToDate>false</LinksUpToDate>
  <CharactersWithSpaces>3684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123</cp:lastModifiedBy>
  <dcterms:modified xsi:type="dcterms:W3CDTF">2026-04-21T09:25:00Z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95852A92D85B41438A34EBCB78EC8B56_13</vt:lpwstr>
  </property>
  <property fmtid="{D5CDD505-2E9C-101B-9397-08002B2CF9AE}" pid="4" name="KSOTemplateDocerSaveRecord">
    <vt:lpwstr>eyJoZGlkIjoiMDQyZmIyYjI4MzZhYmMzOTk2MGY2ZDAzNzkxNWQ2YjIiLCJ1c2VySWQiOiIxNjU1NzUxNzM4In0=</vt:lpwstr>
  </property>
</Properties>
</file>