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3269" w14:textId="714E4FAE" w:rsidR="00FB4C67" w:rsidRDefault="00FB4C67" w:rsidP="00FB4C67">
      <w:pPr>
        <w:spacing w:before="156" w:after="156" w:line="400" w:lineRule="atLeast"/>
        <w:rPr>
          <w:rFonts w:ascii="宋体" w:cs="宋体"/>
          <w:b/>
          <w:kern w:val="0"/>
          <w:sz w:val="24"/>
          <w:szCs w:val="28"/>
        </w:rPr>
      </w:pPr>
      <w:r>
        <w:rPr>
          <w:rFonts w:ascii="宋体" w:hAnsi="宋体" w:cs="宋体" w:hint="eastAsia"/>
          <w:b/>
          <w:kern w:val="0"/>
          <w:sz w:val="24"/>
          <w:szCs w:val="28"/>
        </w:rPr>
        <w:t>证券代码：600520                                            证券简称：三佳科技</w:t>
      </w:r>
    </w:p>
    <w:p w14:paraId="3E5E931A" w14:textId="77777777" w:rsidR="00FB4C67" w:rsidRPr="00FB4C67" w:rsidRDefault="00FB4C67" w:rsidP="007F297E">
      <w:pPr>
        <w:spacing w:line="360" w:lineRule="auto"/>
        <w:jc w:val="center"/>
        <w:rPr>
          <w:rFonts w:ascii="宋体" w:hAnsi="宋体" w:cs="宋体" w:hint="eastAsia"/>
          <w:b/>
          <w:bCs/>
          <w:sz w:val="32"/>
          <w:szCs w:val="32"/>
        </w:rPr>
      </w:pPr>
    </w:p>
    <w:p w14:paraId="3D4C11AC" w14:textId="7AD45219" w:rsidR="007F297E" w:rsidRDefault="009C10C9" w:rsidP="007F297E">
      <w:pPr>
        <w:spacing w:line="360" w:lineRule="auto"/>
        <w:jc w:val="center"/>
        <w:rPr>
          <w:rFonts w:ascii="宋体" w:hAnsi="宋体" w:cs="宋体" w:hint="eastAsia"/>
          <w:b/>
          <w:bCs/>
          <w:sz w:val="32"/>
          <w:szCs w:val="32"/>
        </w:rPr>
      </w:pPr>
      <w:r>
        <w:rPr>
          <w:rFonts w:ascii="宋体" w:hAnsi="宋体" w:cs="宋体" w:hint="eastAsia"/>
          <w:b/>
          <w:bCs/>
          <w:sz w:val="32"/>
          <w:szCs w:val="32"/>
        </w:rPr>
        <w:t>产投</w:t>
      </w:r>
      <w:r w:rsidR="007F297E">
        <w:rPr>
          <w:rFonts w:ascii="宋体" w:hAnsi="宋体" w:cs="宋体" w:hint="eastAsia"/>
          <w:b/>
          <w:bCs/>
          <w:sz w:val="32"/>
          <w:szCs w:val="32"/>
        </w:rPr>
        <w:t>三佳</w:t>
      </w:r>
      <w:r>
        <w:rPr>
          <w:rFonts w:ascii="宋体" w:hAnsi="宋体" w:cs="宋体" w:hint="eastAsia"/>
          <w:b/>
          <w:bCs/>
          <w:sz w:val="32"/>
          <w:szCs w:val="32"/>
        </w:rPr>
        <w:t>（安徽）</w:t>
      </w:r>
      <w:r w:rsidR="007F297E">
        <w:rPr>
          <w:rFonts w:ascii="宋体" w:hAnsi="宋体" w:cs="宋体" w:hint="eastAsia"/>
          <w:b/>
          <w:bCs/>
          <w:sz w:val="32"/>
          <w:szCs w:val="32"/>
        </w:rPr>
        <w:t>科技股份有限公司</w:t>
      </w:r>
    </w:p>
    <w:p w14:paraId="2A4ECC47" w14:textId="392004CE" w:rsidR="007F297E" w:rsidRDefault="00DC3285" w:rsidP="007F297E">
      <w:pPr>
        <w:spacing w:line="360" w:lineRule="auto"/>
        <w:jc w:val="center"/>
        <w:rPr>
          <w:rFonts w:ascii="宋体" w:hAnsi="宋体" w:cs="宋体" w:hint="eastAsia"/>
          <w:b/>
          <w:bCs/>
          <w:sz w:val="32"/>
          <w:szCs w:val="32"/>
        </w:rPr>
      </w:pPr>
      <w:r>
        <w:rPr>
          <w:rFonts w:ascii="宋体" w:hAnsi="宋体" w:cs="宋体" w:hint="eastAsia"/>
          <w:b/>
          <w:bCs/>
          <w:kern w:val="0"/>
          <w:sz w:val="32"/>
          <w:szCs w:val="32"/>
        </w:rPr>
        <w:t>投资者关系活动记录表</w:t>
      </w:r>
    </w:p>
    <w:p w14:paraId="6D3112C3" w14:textId="415FC419" w:rsidR="00DC3285" w:rsidRPr="00DC3285" w:rsidRDefault="007F297E" w:rsidP="00DC3285">
      <w:pPr>
        <w:spacing w:line="360" w:lineRule="auto"/>
        <w:jc w:val="center"/>
        <w:rPr>
          <w:rFonts w:ascii="宋体" w:hAnsi="宋体" w:cs="宋体" w:hint="eastAsia"/>
          <w:sz w:val="24"/>
          <w:szCs w:val="24"/>
        </w:rPr>
      </w:pPr>
      <w:r>
        <w:rPr>
          <w:rFonts w:ascii="宋体" w:hAnsi="宋体" w:cs="宋体" w:hint="eastAsia"/>
          <w:szCs w:val="21"/>
        </w:rPr>
        <w:t xml:space="preserve">                                                  </w:t>
      </w:r>
      <w:r>
        <w:rPr>
          <w:rFonts w:ascii="宋体" w:hAnsi="宋体" w:cs="宋体" w:hint="eastAsia"/>
          <w:sz w:val="24"/>
          <w:szCs w:val="24"/>
        </w:rPr>
        <w:t xml:space="preserve"> </w:t>
      </w:r>
      <w:r w:rsidR="00DC3285">
        <w:rPr>
          <w:rFonts w:ascii="宋体" w:hAnsi="宋体" w:cs="宋体" w:hint="eastAsia"/>
          <w:sz w:val="24"/>
          <w:szCs w:val="24"/>
        </w:rPr>
        <w:t xml:space="preserve">          </w:t>
      </w:r>
      <w:r>
        <w:rPr>
          <w:rFonts w:ascii="宋体" w:hAnsi="宋体" w:cs="宋体" w:hint="eastAsia"/>
          <w:sz w:val="24"/>
          <w:szCs w:val="24"/>
        </w:rPr>
        <w:t>编号：</w:t>
      </w:r>
      <w:r w:rsidR="00DC3285">
        <w:rPr>
          <w:rFonts w:ascii="宋体" w:hAnsi="宋体" w:cs="宋体" w:hint="eastAsia"/>
          <w:sz w:val="24"/>
          <w:szCs w:val="24"/>
        </w:rPr>
        <w:t>2026-0420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8291"/>
      </w:tblGrid>
      <w:tr w:rsidR="00361161" w:rsidRPr="00012DC7" w14:paraId="383D810E" w14:textId="77777777" w:rsidTr="00E5550B">
        <w:trPr>
          <w:jc w:val="center"/>
        </w:trPr>
        <w:tc>
          <w:tcPr>
            <w:tcW w:w="1490" w:type="dxa"/>
          </w:tcPr>
          <w:p w14:paraId="08ED63E4" w14:textId="2A8CCD27" w:rsidR="00361161" w:rsidRPr="00012DC7" w:rsidRDefault="00361161" w:rsidP="006326B0">
            <w:pPr>
              <w:jc w:val="left"/>
              <w:rPr>
                <w:rFonts w:ascii="宋体" w:hAnsi="宋体" w:cs="宋体" w:hint="eastAsia"/>
                <w:sz w:val="24"/>
                <w:szCs w:val="24"/>
              </w:rPr>
            </w:pPr>
            <w:r w:rsidRPr="00012DC7">
              <w:rPr>
                <w:rFonts w:ascii="宋体" w:hAnsi="宋体" w:cs="宋体" w:hint="eastAsia"/>
                <w:b/>
                <w:bCs/>
                <w:kern w:val="0"/>
                <w:sz w:val="24"/>
                <w:szCs w:val="24"/>
              </w:rPr>
              <w:t>投资者关系活动类别</w:t>
            </w:r>
          </w:p>
        </w:tc>
        <w:tc>
          <w:tcPr>
            <w:tcW w:w="8291" w:type="dxa"/>
          </w:tcPr>
          <w:p w14:paraId="00C61479" w14:textId="0CA22CDB"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调研</w:t>
            </w:r>
            <w:r w:rsidR="00C30DE8" w:rsidRPr="00012DC7">
              <w:rPr>
                <w:rFonts w:ascii="宋体" w:hAnsi="宋体" w:cs="宋体" w:hint="eastAsia"/>
                <w:kern w:val="0"/>
                <w:sz w:val="24"/>
                <w:szCs w:val="24"/>
              </w:rPr>
              <w:t>：线下</w:t>
            </w:r>
            <w:r w:rsidR="002B667D" w:rsidRPr="00012DC7">
              <w:rPr>
                <w:rFonts w:ascii="宋体" w:hAnsi="宋体" w:cs="宋体" w:hint="eastAsia"/>
                <w:kern w:val="0"/>
                <w:sz w:val="24"/>
                <w:szCs w:val="24"/>
              </w:rPr>
              <w:t xml:space="preserve">  </w:t>
            </w:r>
            <w:r w:rsidR="00361161" w:rsidRPr="00012DC7">
              <w:rPr>
                <w:rFonts w:ascii="宋体" w:hAnsi="宋体" w:cs="宋体" w:hint="eastAsia"/>
                <w:kern w:val="0"/>
                <w:sz w:val="24"/>
                <w:szCs w:val="24"/>
              </w:rPr>
              <w:t xml:space="preserve"> □分析师会议</w:t>
            </w:r>
          </w:p>
          <w:p w14:paraId="4A0C2126" w14:textId="25BFEC0C"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□媒体采访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□业绩说明会</w:t>
            </w:r>
          </w:p>
          <w:p w14:paraId="4E609BAD" w14:textId="7FB5CCB8" w:rsidR="00361161" w:rsidRPr="00012DC7" w:rsidRDefault="00361161" w:rsidP="00192512">
            <w:pPr>
              <w:spacing w:line="480" w:lineRule="atLeast"/>
              <w:ind w:firstLineChars="100" w:firstLine="240"/>
              <w:rPr>
                <w:rFonts w:ascii="宋体" w:cs="宋体"/>
                <w:kern w:val="0"/>
                <w:sz w:val="24"/>
                <w:szCs w:val="24"/>
              </w:rPr>
            </w:pPr>
            <w:r w:rsidRPr="00012DC7">
              <w:rPr>
                <w:rFonts w:ascii="宋体" w:hAnsi="宋体" w:cs="宋体" w:hint="eastAsia"/>
                <w:kern w:val="0"/>
                <w:sz w:val="24"/>
                <w:szCs w:val="24"/>
              </w:rPr>
              <w:t xml:space="preserve">□新闻发布会 </w:t>
            </w:r>
            <w:r w:rsidR="00192512" w:rsidRPr="00012DC7">
              <w:rPr>
                <w:rFonts w:ascii="宋体" w:hAnsi="宋体" w:cs="宋体" w:hint="eastAsia"/>
                <w:kern w:val="0"/>
                <w:sz w:val="24"/>
                <w:szCs w:val="24"/>
              </w:rPr>
              <w:t xml:space="preserve">  </w:t>
            </w:r>
            <w:r w:rsidRPr="00012DC7">
              <w:rPr>
                <w:rFonts w:ascii="宋体" w:hAnsi="宋体" w:cs="宋体" w:hint="eastAsia"/>
                <w:kern w:val="0"/>
                <w:sz w:val="24"/>
                <w:szCs w:val="24"/>
              </w:rPr>
              <w:t>□路演活动</w:t>
            </w:r>
          </w:p>
          <w:p w14:paraId="200D45DA" w14:textId="58388DBB" w:rsidR="00361161" w:rsidRPr="00012DC7" w:rsidRDefault="00850720" w:rsidP="00850720">
            <w:pPr>
              <w:spacing w:line="480" w:lineRule="atLeast"/>
              <w:ind w:firstLineChars="100" w:firstLine="240"/>
              <w:rPr>
                <w:rFonts w:ascii="宋体" w:cs="宋体"/>
                <w:kern w:val="0"/>
                <w:sz w:val="24"/>
                <w:szCs w:val="24"/>
              </w:rPr>
            </w:pPr>
            <w:r w:rsidRPr="00012DC7">
              <w:rPr>
                <w:rFonts w:ascii="宋体" w:hAnsi="宋体" w:cs="宋体" w:hint="eastAsia"/>
                <w:sz w:val="24"/>
                <w:szCs w:val="24"/>
              </w:rPr>
              <w:sym w:font="Wingdings 2" w:char="F052"/>
            </w:r>
            <w:r w:rsidR="00361161" w:rsidRPr="00012DC7">
              <w:rPr>
                <w:rFonts w:ascii="宋体" w:hAnsi="宋体" w:cs="宋体" w:hint="eastAsia"/>
                <w:kern w:val="0"/>
                <w:sz w:val="24"/>
                <w:szCs w:val="24"/>
              </w:rPr>
              <w:t>现场参观</w:t>
            </w:r>
            <w:r w:rsidR="00361161" w:rsidRPr="00012DC7">
              <w:rPr>
                <w:rFonts w:ascii="宋体" w:cs="宋体"/>
                <w:kern w:val="0"/>
                <w:sz w:val="24"/>
                <w:szCs w:val="24"/>
              </w:rPr>
              <w:tab/>
            </w:r>
            <w:r w:rsidR="00361161" w:rsidRPr="00012DC7">
              <w:rPr>
                <w:rFonts w:ascii="宋体" w:cs="宋体" w:hint="eastAsia"/>
                <w:kern w:val="0"/>
                <w:sz w:val="24"/>
                <w:szCs w:val="24"/>
              </w:rPr>
              <w:t xml:space="preserve"> </w:t>
            </w:r>
            <w:r w:rsidR="00192512" w:rsidRPr="00012DC7">
              <w:rPr>
                <w:rFonts w:ascii="宋体" w:cs="宋体" w:hint="eastAsia"/>
                <w:kern w:val="0"/>
                <w:sz w:val="24"/>
                <w:szCs w:val="24"/>
              </w:rPr>
              <w:t xml:space="preserve">  </w:t>
            </w:r>
            <w:r w:rsidR="00361161" w:rsidRPr="00012DC7">
              <w:rPr>
                <w:rFonts w:ascii="宋体" w:hAnsi="宋体" w:cs="宋体" w:hint="eastAsia"/>
                <w:kern w:val="0"/>
                <w:sz w:val="24"/>
                <w:szCs w:val="24"/>
              </w:rPr>
              <w:t>□其他</w:t>
            </w:r>
          </w:p>
        </w:tc>
      </w:tr>
      <w:tr w:rsidR="00192512" w:rsidRPr="00012DC7" w14:paraId="69878F18" w14:textId="77777777" w:rsidTr="00E5550B">
        <w:trPr>
          <w:jc w:val="center"/>
        </w:trPr>
        <w:tc>
          <w:tcPr>
            <w:tcW w:w="1490" w:type="dxa"/>
          </w:tcPr>
          <w:p w14:paraId="2673066F" w14:textId="215FEEFE" w:rsidR="00192512" w:rsidRPr="00012DC7" w:rsidRDefault="00192512" w:rsidP="006326B0">
            <w:pPr>
              <w:jc w:val="left"/>
              <w:rPr>
                <w:rFonts w:ascii="宋体" w:hAnsi="宋体" w:cs="宋体" w:hint="eastAsia"/>
                <w:b/>
                <w:bCs/>
                <w:kern w:val="0"/>
                <w:sz w:val="24"/>
                <w:szCs w:val="24"/>
              </w:rPr>
            </w:pPr>
            <w:r w:rsidRPr="00012DC7">
              <w:rPr>
                <w:rFonts w:ascii="宋体" w:hAnsi="宋体" w:cs="宋体" w:hint="eastAsia"/>
                <w:b/>
                <w:bCs/>
                <w:sz w:val="24"/>
                <w:szCs w:val="24"/>
              </w:rPr>
              <w:t>来访人</w:t>
            </w:r>
          </w:p>
        </w:tc>
        <w:tc>
          <w:tcPr>
            <w:tcW w:w="8291" w:type="dxa"/>
          </w:tcPr>
          <w:p w14:paraId="0422BD1C" w14:textId="21E88DEA" w:rsidR="00192512" w:rsidRPr="00012DC7" w:rsidRDefault="00192512" w:rsidP="00192512">
            <w:pPr>
              <w:rPr>
                <w:rFonts w:ascii="宋体" w:hAnsi="宋体" w:cs="宋体" w:hint="eastAsia"/>
                <w:sz w:val="24"/>
                <w:szCs w:val="24"/>
              </w:rPr>
            </w:pPr>
            <w:r w:rsidRPr="00012DC7">
              <w:rPr>
                <w:rFonts w:ascii="宋体" w:hAnsi="宋体" w:cs="宋体"/>
                <w:sz w:val="24"/>
                <w:szCs w:val="24"/>
              </w:rPr>
              <w:t>华泰证券股份有限公司</w:t>
            </w:r>
          </w:p>
          <w:p w14:paraId="6A734A61" w14:textId="77777777" w:rsidR="00192512" w:rsidRPr="00012DC7" w:rsidRDefault="00192512" w:rsidP="00192512">
            <w:pPr>
              <w:rPr>
                <w:rFonts w:ascii="宋体" w:hAnsi="宋体" w:cs="宋体" w:hint="eastAsia"/>
                <w:sz w:val="24"/>
                <w:szCs w:val="24"/>
              </w:rPr>
            </w:pPr>
            <w:r w:rsidRPr="00012DC7">
              <w:rPr>
                <w:rFonts w:ascii="宋体" w:hAnsi="宋体" w:cs="宋体"/>
                <w:sz w:val="24"/>
                <w:szCs w:val="24"/>
              </w:rPr>
              <w:t>泰康资产管理有限责任公司</w:t>
            </w:r>
          </w:p>
          <w:p w14:paraId="25CAA0CD" w14:textId="021E9629" w:rsidR="00192512" w:rsidRPr="00012DC7" w:rsidRDefault="00192512" w:rsidP="00192512">
            <w:pPr>
              <w:rPr>
                <w:rFonts w:ascii="宋体" w:hAnsi="宋体" w:cs="宋体" w:hint="eastAsia"/>
                <w:sz w:val="24"/>
                <w:szCs w:val="24"/>
              </w:rPr>
            </w:pPr>
            <w:r w:rsidRPr="00012DC7">
              <w:rPr>
                <w:rFonts w:ascii="宋体" w:hAnsi="宋体" w:cs="宋体"/>
                <w:sz w:val="24"/>
                <w:szCs w:val="24"/>
              </w:rPr>
              <w:t>西部利得基金管理有限公司</w:t>
            </w:r>
          </w:p>
        </w:tc>
      </w:tr>
      <w:tr w:rsidR="007F297E" w:rsidRPr="00012DC7" w14:paraId="5936902F" w14:textId="77777777" w:rsidTr="00E37F78">
        <w:trPr>
          <w:jc w:val="center"/>
        </w:trPr>
        <w:tc>
          <w:tcPr>
            <w:tcW w:w="1490" w:type="dxa"/>
          </w:tcPr>
          <w:p w14:paraId="764DAF9F" w14:textId="77777777" w:rsidR="007F297E" w:rsidRPr="00012DC7" w:rsidRDefault="007F297E" w:rsidP="006326B0">
            <w:pPr>
              <w:jc w:val="left"/>
              <w:rPr>
                <w:rFonts w:ascii="宋体" w:hAnsi="宋体" w:cs="宋体" w:hint="eastAsia"/>
                <w:b/>
                <w:bCs/>
                <w:sz w:val="24"/>
                <w:szCs w:val="24"/>
              </w:rPr>
            </w:pPr>
            <w:r w:rsidRPr="00012DC7">
              <w:rPr>
                <w:rFonts w:ascii="宋体" w:hAnsi="宋体" w:cs="宋体" w:hint="eastAsia"/>
                <w:b/>
                <w:bCs/>
                <w:sz w:val="24"/>
                <w:szCs w:val="24"/>
              </w:rPr>
              <w:t>来访人类型</w:t>
            </w:r>
          </w:p>
        </w:tc>
        <w:tc>
          <w:tcPr>
            <w:tcW w:w="8291" w:type="dxa"/>
          </w:tcPr>
          <w:p w14:paraId="1D574CAB" w14:textId="03EEFBE5" w:rsidR="007F297E" w:rsidRPr="00012DC7" w:rsidRDefault="007F297E" w:rsidP="006326B0">
            <w:pPr>
              <w:rPr>
                <w:rFonts w:ascii="宋体" w:hAnsi="宋体" w:cs="宋体" w:hint="eastAsia"/>
                <w:sz w:val="24"/>
                <w:szCs w:val="24"/>
              </w:rPr>
            </w:pPr>
            <w:r w:rsidRPr="00012DC7">
              <w:rPr>
                <w:rFonts w:ascii="宋体" w:hAnsi="宋体" w:cs="宋体" w:hint="eastAsia"/>
                <w:sz w:val="24"/>
                <w:szCs w:val="24"/>
              </w:rPr>
              <w:t>投资者</w:t>
            </w:r>
            <w:r w:rsidR="003F48F9" w:rsidRPr="00012DC7">
              <w:rPr>
                <w:rFonts w:ascii="宋体" w:hAnsi="宋体" w:cs="宋体" w:hint="eastAsia"/>
                <w:sz w:val="24"/>
                <w:szCs w:val="24"/>
              </w:rPr>
              <w:sym w:font="Wingdings 2" w:char="F052"/>
            </w:r>
            <w:r w:rsidRPr="00012DC7">
              <w:rPr>
                <w:rFonts w:ascii="宋体" w:hAnsi="宋体" w:cs="宋体" w:hint="eastAsia"/>
                <w:sz w:val="24"/>
                <w:szCs w:val="24"/>
              </w:rPr>
              <w:t xml:space="preserve">     证券机构</w:t>
            </w:r>
            <w:r w:rsidR="00115A83" w:rsidRPr="00012DC7">
              <w:rPr>
                <w:rFonts w:ascii="宋体" w:hAnsi="宋体" w:cs="宋体" w:hint="eastAsia"/>
                <w:sz w:val="24"/>
                <w:szCs w:val="24"/>
              </w:rPr>
              <w:sym w:font="Wingdings 2" w:char="F052"/>
            </w:r>
            <w:r w:rsidR="00115A83" w:rsidRPr="00012DC7">
              <w:rPr>
                <w:rFonts w:ascii="宋体" w:hAnsi="宋体" w:cs="宋体" w:hint="eastAsia"/>
                <w:sz w:val="24"/>
                <w:szCs w:val="24"/>
              </w:rPr>
              <w:t xml:space="preserve"> </w:t>
            </w:r>
            <w:r w:rsidRPr="00012DC7">
              <w:rPr>
                <w:rFonts w:ascii="宋体" w:hAnsi="宋体" w:cs="宋体" w:hint="eastAsia"/>
                <w:sz w:val="24"/>
                <w:szCs w:val="24"/>
              </w:rPr>
              <w:t xml:space="preserve">     新闻媒体□  </w:t>
            </w:r>
          </w:p>
          <w:p w14:paraId="3924F0CC" w14:textId="2B775419" w:rsidR="007F297E" w:rsidRPr="00012DC7" w:rsidRDefault="007F297E" w:rsidP="006326B0">
            <w:pPr>
              <w:rPr>
                <w:rFonts w:ascii="宋体" w:hAnsi="宋体" w:cs="宋体" w:hint="eastAsia"/>
                <w:sz w:val="24"/>
                <w:szCs w:val="24"/>
              </w:rPr>
            </w:pPr>
            <w:r w:rsidRPr="00012DC7">
              <w:rPr>
                <w:rFonts w:ascii="宋体" w:hAnsi="宋体" w:cs="宋体" w:hint="eastAsia"/>
                <w:sz w:val="24"/>
                <w:szCs w:val="24"/>
              </w:rPr>
              <w:t>其他：</w:t>
            </w:r>
            <w:r w:rsidRPr="00012DC7">
              <w:rPr>
                <w:rFonts w:ascii="宋体" w:hAnsi="宋体" w:cs="宋体" w:hint="eastAsia"/>
                <w:sz w:val="24"/>
                <w:szCs w:val="24"/>
                <w:u w:val="single"/>
              </w:rPr>
              <w:t xml:space="preserve">                                 </w:t>
            </w:r>
            <w:r w:rsidR="00101C4A" w:rsidRPr="00012DC7">
              <w:rPr>
                <w:rFonts w:ascii="宋体" w:hAnsi="宋体" w:cs="宋体" w:hint="eastAsia"/>
                <w:sz w:val="24"/>
                <w:szCs w:val="24"/>
                <w:u w:val="single"/>
              </w:rPr>
              <w:t xml:space="preserve"> </w:t>
            </w:r>
          </w:p>
        </w:tc>
      </w:tr>
      <w:tr w:rsidR="003F48F9" w:rsidRPr="00012DC7" w14:paraId="0D528249" w14:textId="77777777" w:rsidTr="00E37F78">
        <w:trPr>
          <w:jc w:val="center"/>
        </w:trPr>
        <w:tc>
          <w:tcPr>
            <w:tcW w:w="1490" w:type="dxa"/>
          </w:tcPr>
          <w:p w14:paraId="0C7EFDAE" w14:textId="47D6120D" w:rsidR="003F48F9" w:rsidRPr="003F48F9" w:rsidRDefault="003F48F9" w:rsidP="003F48F9">
            <w:pPr>
              <w:jc w:val="left"/>
              <w:rPr>
                <w:rFonts w:ascii="宋体" w:hAnsi="宋体" w:cs="宋体" w:hint="eastAsia"/>
                <w:b/>
                <w:bCs/>
                <w:sz w:val="24"/>
                <w:szCs w:val="24"/>
              </w:rPr>
            </w:pPr>
            <w:r w:rsidRPr="00012DC7">
              <w:rPr>
                <w:rFonts w:ascii="宋体" w:hAnsi="宋体" w:cs="宋体" w:hint="eastAsia"/>
                <w:b/>
                <w:bCs/>
                <w:kern w:val="0"/>
                <w:sz w:val="24"/>
                <w:szCs w:val="24"/>
              </w:rPr>
              <w:t>上市公司接待人员</w:t>
            </w:r>
          </w:p>
        </w:tc>
        <w:tc>
          <w:tcPr>
            <w:tcW w:w="8291" w:type="dxa"/>
          </w:tcPr>
          <w:p w14:paraId="67FF269F" w14:textId="77777777" w:rsidR="003F48F9" w:rsidRPr="00012DC7" w:rsidRDefault="003F48F9" w:rsidP="003F48F9">
            <w:pPr>
              <w:rPr>
                <w:rFonts w:ascii="宋体" w:hAnsi="宋体" w:cs="宋体" w:hint="eastAsia"/>
                <w:sz w:val="24"/>
                <w:szCs w:val="24"/>
              </w:rPr>
            </w:pPr>
            <w:r w:rsidRPr="00012DC7">
              <w:rPr>
                <w:rFonts w:ascii="宋体" w:hAnsi="宋体" w:cs="宋体"/>
                <w:sz w:val="24"/>
                <w:szCs w:val="24"/>
              </w:rPr>
              <w:t>总经理：昌望</w:t>
            </w:r>
          </w:p>
          <w:p w14:paraId="42798C9C" w14:textId="77777777" w:rsidR="003F48F9" w:rsidRPr="00012DC7" w:rsidRDefault="003F48F9" w:rsidP="003F48F9">
            <w:pPr>
              <w:rPr>
                <w:rFonts w:ascii="宋体" w:hAnsi="宋体" w:cs="宋体" w:hint="eastAsia"/>
                <w:sz w:val="24"/>
                <w:szCs w:val="24"/>
              </w:rPr>
            </w:pPr>
            <w:r w:rsidRPr="00012DC7">
              <w:rPr>
                <w:rFonts w:ascii="宋体" w:hAnsi="宋体" w:cs="宋体" w:hint="eastAsia"/>
                <w:sz w:val="24"/>
                <w:szCs w:val="24"/>
              </w:rPr>
              <w:t>董事会秘书：夏军</w:t>
            </w:r>
          </w:p>
          <w:p w14:paraId="4C141743" w14:textId="77777777" w:rsidR="003F48F9" w:rsidRPr="00012DC7" w:rsidRDefault="003F48F9" w:rsidP="003F48F9">
            <w:pPr>
              <w:rPr>
                <w:rFonts w:ascii="宋体" w:hAnsi="宋体" w:cs="宋体" w:hint="eastAsia"/>
                <w:sz w:val="24"/>
                <w:szCs w:val="24"/>
              </w:rPr>
            </w:pPr>
            <w:r w:rsidRPr="00012DC7">
              <w:rPr>
                <w:rFonts w:ascii="宋体" w:hAnsi="宋体" w:cs="宋体" w:hint="eastAsia"/>
                <w:sz w:val="24"/>
                <w:szCs w:val="24"/>
              </w:rPr>
              <w:t>证券事务代表：毕静</w:t>
            </w:r>
          </w:p>
          <w:p w14:paraId="7ED6B108" w14:textId="39CD2FF8" w:rsidR="003F48F9" w:rsidRPr="00012DC7" w:rsidRDefault="003F48F9" w:rsidP="003F48F9">
            <w:pPr>
              <w:rPr>
                <w:rFonts w:ascii="宋体" w:hAnsi="宋体" w:cs="宋体" w:hint="eastAsia"/>
                <w:sz w:val="24"/>
                <w:szCs w:val="24"/>
              </w:rPr>
            </w:pPr>
            <w:r w:rsidRPr="00012DC7">
              <w:rPr>
                <w:rFonts w:ascii="宋体" w:hAnsi="宋体" w:cs="宋体" w:hint="eastAsia"/>
                <w:sz w:val="24"/>
                <w:szCs w:val="24"/>
              </w:rPr>
              <w:t>信息披露专员：王如梦</w:t>
            </w:r>
          </w:p>
        </w:tc>
      </w:tr>
      <w:tr w:rsidR="003F48F9" w:rsidRPr="00012DC7" w14:paraId="50F22C95" w14:textId="77777777" w:rsidTr="00E37F78">
        <w:trPr>
          <w:jc w:val="center"/>
        </w:trPr>
        <w:tc>
          <w:tcPr>
            <w:tcW w:w="1490" w:type="dxa"/>
          </w:tcPr>
          <w:p w14:paraId="6DF1CE56" w14:textId="590A7CD0" w:rsidR="003F48F9" w:rsidRPr="00012DC7" w:rsidRDefault="003F48F9" w:rsidP="003F48F9">
            <w:pPr>
              <w:jc w:val="left"/>
              <w:rPr>
                <w:rFonts w:ascii="宋体" w:hAnsi="宋体" w:cs="宋体" w:hint="eastAsia"/>
                <w:b/>
                <w:bCs/>
                <w:sz w:val="24"/>
                <w:szCs w:val="24"/>
              </w:rPr>
            </w:pPr>
            <w:r w:rsidRPr="00012DC7">
              <w:rPr>
                <w:rFonts w:ascii="宋体" w:hAnsi="宋体" w:cs="宋体" w:hint="eastAsia"/>
                <w:b/>
                <w:bCs/>
                <w:sz w:val="24"/>
                <w:szCs w:val="24"/>
              </w:rPr>
              <w:t>接待时间</w:t>
            </w:r>
          </w:p>
        </w:tc>
        <w:tc>
          <w:tcPr>
            <w:tcW w:w="8291" w:type="dxa"/>
          </w:tcPr>
          <w:p w14:paraId="70859D58" w14:textId="02630FAF" w:rsidR="003F48F9" w:rsidRPr="00012DC7" w:rsidRDefault="003F48F9" w:rsidP="003F48F9">
            <w:pPr>
              <w:rPr>
                <w:rFonts w:ascii="宋体" w:hAnsi="宋体" w:cs="宋体" w:hint="eastAsia"/>
                <w:sz w:val="24"/>
                <w:szCs w:val="24"/>
              </w:rPr>
            </w:pPr>
            <w:r w:rsidRPr="00012DC7">
              <w:rPr>
                <w:rFonts w:ascii="宋体" w:hAnsi="宋体" w:cs="宋体" w:hint="eastAsia"/>
                <w:sz w:val="24"/>
                <w:szCs w:val="24"/>
              </w:rPr>
              <w:t>2026年4月20日10:00时</w:t>
            </w:r>
          </w:p>
        </w:tc>
      </w:tr>
      <w:tr w:rsidR="003F48F9" w:rsidRPr="00012DC7" w14:paraId="6E62DAB9" w14:textId="77777777" w:rsidTr="00E37F78">
        <w:trPr>
          <w:jc w:val="center"/>
        </w:trPr>
        <w:tc>
          <w:tcPr>
            <w:tcW w:w="1490" w:type="dxa"/>
          </w:tcPr>
          <w:p w14:paraId="1DE45028" w14:textId="77777777" w:rsidR="003F48F9" w:rsidRPr="00012DC7" w:rsidRDefault="003F48F9" w:rsidP="003F48F9">
            <w:pPr>
              <w:jc w:val="left"/>
              <w:rPr>
                <w:rFonts w:ascii="宋体" w:hAnsi="宋体" w:cs="宋体" w:hint="eastAsia"/>
                <w:b/>
                <w:bCs/>
                <w:sz w:val="24"/>
                <w:szCs w:val="24"/>
              </w:rPr>
            </w:pPr>
            <w:r w:rsidRPr="00012DC7">
              <w:rPr>
                <w:rFonts w:ascii="宋体" w:hAnsi="宋体" w:cs="宋体" w:hint="eastAsia"/>
                <w:b/>
                <w:bCs/>
                <w:sz w:val="24"/>
                <w:szCs w:val="24"/>
              </w:rPr>
              <w:t>接待地点</w:t>
            </w:r>
          </w:p>
        </w:tc>
        <w:tc>
          <w:tcPr>
            <w:tcW w:w="8291" w:type="dxa"/>
          </w:tcPr>
          <w:p w14:paraId="5AE3C0A8" w14:textId="77777777" w:rsidR="003F48F9" w:rsidRPr="00012DC7" w:rsidRDefault="003F48F9" w:rsidP="003F48F9">
            <w:pPr>
              <w:rPr>
                <w:rFonts w:ascii="宋体" w:hAnsi="宋体" w:cs="宋体" w:hint="eastAsia"/>
                <w:sz w:val="24"/>
                <w:szCs w:val="24"/>
              </w:rPr>
            </w:pPr>
            <w:r w:rsidRPr="00012DC7">
              <w:rPr>
                <w:rFonts w:ascii="宋体" w:hAnsi="宋体" w:cs="宋体" w:hint="eastAsia"/>
                <w:sz w:val="24"/>
                <w:szCs w:val="24"/>
              </w:rPr>
              <w:t>三佳科技党群活动服务中心三楼会议室</w:t>
            </w:r>
          </w:p>
        </w:tc>
      </w:tr>
      <w:tr w:rsidR="003F48F9" w:rsidRPr="00012DC7" w14:paraId="4D3E8317" w14:textId="77777777" w:rsidTr="00E37F78">
        <w:trPr>
          <w:trHeight w:val="1751"/>
          <w:jc w:val="center"/>
        </w:trPr>
        <w:tc>
          <w:tcPr>
            <w:tcW w:w="1490" w:type="dxa"/>
            <w:vAlign w:val="center"/>
          </w:tcPr>
          <w:p w14:paraId="616DE869" w14:textId="464F0B41" w:rsidR="003F48F9" w:rsidRPr="00012DC7" w:rsidRDefault="003F48F9" w:rsidP="003F48F9">
            <w:pPr>
              <w:jc w:val="left"/>
              <w:rPr>
                <w:rFonts w:ascii="宋体" w:hAnsi="宋体" w:cs="宋体" w:hint="eastAsia"/>
                <w:b/>
                <w:bCs/>
                <w:sz w:val="24"/>
                <w:szCs w:val="24"/>
              </w:rPr>
            </w:pPr>
            <w:r w:rsidRPr="00012DC7">
              <w:rPr>
                <w:rFonts w:ascii="宋体" w:hAnsi="宋体" w:cs="宋体" w:hint="eastAsia"/>
                <w:b/>
                <w:bCs/>
                <w:kern w:val="0"/>
                <w:sz w:val="24"/>
                <w:szCs w:val="24"/>
              </w:rPr>
              <w:t>投资者关系活动主要内容介绍</w:t>
            </w:r>
          </w:p>
        </w:tc>
        <w:tc>
          <w:tcPr>
            <w:tcW w:w="8291" w:type="dxa"/>
          </w:tcPr>
          <w:p w14:paraId="5079F210"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Q1:请介绍一下公司及主营业务情况。</w:t>
            </w:r>
          </w:p>
          <w:p w14:paraId="71483B8F"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A1:公司成立于2000年4月，公司前身是原电子工业部所属4150、4963、4524三个军工厂，</w:t>
            </w:r>
            <w:r w:rsidRPr="00012DC7">
              <w:rPr>
                <w:rFonts w:asciiTheme="minorEastAsia" w:eastAsiaTheme="minorEastAsia" w:hAnsiTheme="minorEastAsia"/>
                <w:color w:val="000000" w:themeColor="text1"/>
                <w:sz w:val="24"/>
                <w:szCs w:val="24"/>
              </w:rPr>
              <w:t>200</w:t>
            </w:r>
            <w:r w:rsidRPr="00012DC7">
              <w:rPr>
                <w:rFonts w:asciiTheme="minorEastAsia" w:eastAsiaTheme="minorEastAsia" w:hAnsiTheme="minorEastAsia" w:hint="eastAsia"/>
                <w:color w:val="000000" w:themeColor="text1"/>
                <w:sz w:val="24"/>
                <w:szCs w:val="24"/>
              </w:rPr>
              <w:t>2</w:t>
            </w:r>
            <w:r w:rsidRPr="00012DC7">
              <w:rPr>
                <w:rFonts w:asciiTheme="minorEastAsia" w:eastAsiaTheme="minorEastAsia" w:hAnsiTheme="minorEastAsia"/>
                <w:color w:val="000000" w:themeColor="text1"/>
                <w:sz w:val="24"/>
                <w:szCs w:val="24"/>
              </w:rPr>
              <w:t>年1月在上交所主板上市</w:t>
            </w:r>
            <w:r w:rsidRPr="00012DC7">
              <w:rPr>
                <w:rFonts w:asciiTheme="minorEastAsia" w:eastAsiaTheme="minorEastAsia" w:hAnsiTheme="minorEastAsia" w:hint="eastAsia"/>
                <w:color w:val="000000" w:themeColor="text1"/>
                <w:sz w:val="24"/>
                <w:szCs w:val="24"/>
              </w:rPr>
              <w:t>，被誉为“中华模具第一股”。2025年1月，合肥产投集团旗下合肥市创新科技风险投资有限公司通过股权收购形式成为公司控股股东。公司经过多年发展，目前核心业务涵盖半导体封装装备及智能制造业务两大板块。半导体封装装备具体包括高精度塑封模具、全自动塑封系统与切筋成型设备等；智能制造业务具体包括塑料挤出模具及配套设备、冲压轴承座及配套密封件等。半导体封装装备板块的营业收入占公司主营业务收入约70%，智能制造板块约占30%。</w:t>
            </w:r>
          </w:p>
          <w:p w14:paraId="7B21BE6D"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589367F0"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Q2:请问公司2025年度经营业绩情况如何？</w:t>
            </w:r>
            <w:bookmarkStart w:id="0" w:name="OLE_LINK3"/>
            <w:bookmarkStart w:id="1" w:name="OLE_LINK4"/>
            <w:r w:rsidRPr="00012DC7">
              <w:rPr>
                <w:rFonts w:asciiTheme="minorEastAsia" w:eastAsiaTheme="minorEastAsia" w:hAnsiTheme="minorEastAsia" w:hint="eastAsia"/>
                <w:color w:val="000000" w:themeColor="text1"/>
                <w:sz w:val="24"/>
                <w:szCs w:val="24"/>
              </w:rPr>
              <w:t>2026年第一季度报告何时披露</w:t>
            </w:r>
            <w:bookmarkEnd w:id="0"/>
            <w:bookmarkEnd w:id="1"/>
            <w:r w:rsidRPr="00012DC7">
              <w:rPr>
                <w:rFonts w:asciiTheme="minorEastAsia" w:eastAsiaTheme="minorEastAsia" w:hAnsiTheme="minorEastAsia" w:hint="eastAsia"/>
                <w:color w:val="000000" w:themeColor="text1"/>
                <w:sz w:val="24"/>
                <w:szCs w:val="24"/>
              </w:rPr>
              <w:t>？</w:t>
            </w:r>
          </w:p>
          <w:p w14:paraId="2A074445"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A2:公司2025年度实现营业收入约为3.79亿元，利润总额约为1032.77万元</w:t>
            </w:r>
            <w:r w:rsidRPr="00012DC7">
              <w:rPr>
                <w:rFonts w:asciiTheme="minorEastAsia" w:eastAsiaTheme="minorEastAsia" w:hAnsiTheme="minorEastAsia"/>
                <w:color w:val="000000" w:themeColor="text1"/>
                <w:sz w:val="24"/>
                <w:szCs w:val="24"/>
              </w:rPr>
              <w:t>，</w:t>
            </w:r>
            <w:r w:rsidRPr="00012DC7">
              <w:rPr>
                <w:rFonts w:asciiTheme="minorEastAsia" w:eastAsiaTheme="minorEastAsia" w:hAnsiTheme="minorEastAsia" w:hint="eastAsia"/>
                <w:color w:val="000000" w:themeColor="text1"/>
                <w:sz w:val="24"/>
                <w:szCs w:val="24"/>
              </w:rPr>
              <w:t>归属于上市公司股东的净利润约7</w:t>
            </w:r>
            <w:r w:rsidRPr="00012DC7">
              <w:rPr>
                <w:rFonts w:asciiTheme="minorEastAsia" w:eastAsiaTheme="minorEastAsia" w:hAnsiTheme="minorEastAsia"/>
                <w:color w:val="000000" w:themeColor="text1"/>
                <w:sz w:val="24"/>
                <w:szCs w:val="24"/>
              </w:rPr>
              <w:t>64万元。</w:t>
            </w:r>
            <w:r w:rsidRPr="00012DC7">
              <w:rPr>
                <w:rFonts w:asciiTheme="minorEastAsia" w:eastAsiaTheme="minorEastAsia" w:hAnsiTheme="minorEastAsia" w:hint="eastAsia"/>
                <w:color w:val="000000" w:themeColor="text1"/>
                <w:sz w:val="24"/>
                <w:szCs w:val="24"/>
              </w:rPr>
              <w:t>2026年第一季度报告将于2026年4月28日披露。</w:t>
            </w:r>
          </w:p>
          <w:p w14:paraId="73D2DBFC"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7B4E5957"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Q3:请问公司2026年第一季度订单情况如何？</w:t>
            </w:r>
          </w:p>
          <w:p w14:paraId="07C6561F"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A3:公司2026年第一季度订单情况符合公司预期。具体情况请关注公司后续披露的季报。</w:t>
            </w:r>
          </w:p>
          <w:p w14:paraId="5EE28BF2"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341FB4F5"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lastRenderedPageBreak/>
              <w:t>Q4：公司对未来的研发有何规划？</w:t>
            </w:r>
          </w:p>
          <w:p w14:paraId="3F6DE003"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4：公司确立了半导体先进封装设备研发优先策略，落实合肥研究院建设，积极申报国家、省、市科技攻关项目，全力保障新品研发投入和加快研发进展。具体将以重点项目实施为引领，持续加大研发投入，合肥研发中心将全面启用，不断完善研发团队激励机制，激发研发人员的创新积极性。加强与高校、科研院所的产学研合作，联合攻关关键核心技术，突破技术瓶颈。抓好“100×300以内基板类压缩成型封装自动化设备关键技术研发及产业化”安徽省科技创新攻坚项目的启动和实施工作，做好车规级新能源模块精密封装系统、基板浮动封装模具、集成电路塑封后缺陷光学智能检测功能等项目的开发。</w:t>
            </w:r>
          </w:p>
          <w:p w14:paraId="7537B817"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759E44DC"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Q5：公司收购众合半导体51%股权后，整合情况如何？给公司带来哪些改变？</w:t>
            </w:r>
          </w:p>
          <w:p w14:paraId="53C4AB86"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A5：</w:t>
            </w:r>
            <w:r w:rsidRPr="00012DC7">
              <w:rPr>
                <w:rFonts w:asciiTheme="minorEastAsia" w:eastAsiaTheme="minorEastAsia" w:hAnsiTheme="minorEastAsia"/>
                <w:color w:val="000000" w:themeColor="text1"/>
                <w:sz w:val="24"/>
                <w:szCs w:val="24"/>
              </w:rPr>
              <w:t>2025年，公司完成了对众合半导体的横向并购，目前整合情况良好。本次收购</w:t>
            </w:r>
            <w:r w:rsidRPr="00012DC7">
              <w:rPr>
                <w:rFonts w:asciiTheme="minorEastAsia" w:eastAsiaTheme="minorEastAsia" w:hAnsiTheme="minorEastAsia" w:hint="eastAsia"/>
                <w:color w:val="000000" w:themeColor="text1"/>
                <w:sz w:val="24"/>
                <w:szCs w:val="24"/>
              </w:rPr>
              <w:t>直接增强了公司在国内半导体封装装备市场的领先优势，市场地位得到进一步巩固。本次</w:t>
            </w:r>
            <w:r w:rsidRPr="00012DC7">
              <w:rPr>
                <w:rFonts w:asciiTheme="minorEastAsia" w:eastAsiaTheme="minorEastAsia" w:hAnsiTheme="minorEastAsia"/>
                <w:color w:val="000000" w:themeColor="text1"/>
                <w:sz w:val="24"/>
                <w:szCs w:val="24"/>
              </w:rPr>
              <w:t>并购不仅是公司实现规模扩张的战术举措，更是夯实核心竞争力、应对行业变局的战略选择</w:t>
            </w:r>
            <w:r w:rsidRPr="00012DC7">
              <w:rPr>
                <w:rFonts w:asciiTheme="minorEastAsia" w:eastAsiaTheme="minorEastAsia" w:hAnsiTheme="minorEastAsia" w:hint="eastAsia"/>
                <w:color w:val="000000" w:themeColor="text1"/>
                <w:sz w:val="24"/>
                <w:szCs w:val="24"/>
              </w:rPr>
              <w:t>，通过战略协同与资源整合，</w:t>
            </w:r>
            <w:r w:rsidRPr="00012DC7">
              <w:rPr>
                <w:rFonts w:asciiTheme="minorEastAsia" w:eastAsiaTheme="minorEastAsia" w:hAnsiTheme="minorEastAsia"/>
                <w:color w:val="000000" w:themeColor="text1"/>
                <w:sz w:val="24"/>
                <w:szCs w:val="24"/>
              </w:rPr>
              <w:t>为</w:t>
            </w:r>
            <w:r w:rsidRPr="00012DC7">
              <w:rPr>
                <w:rFonts w:asciiTheme="minorEastAsia" w:eastAsiaTheme="minorEastAsia" w:hAnsiTheme="minorEastAsia" w:hint="eastAsia"/>
                <w:color w:val="000000" w:themeColor="text1"/>
                <w:sz w:val="24"/>
                <w:szCs w:val="24"/>
              </w:rPr>
              <w:t>公司</w:t>
            </w:r>
            <w:r w:rsidRPr="00012DC7">
              <w:rPr>
                <w:rFonts w:asciiTheme="minorEastAsia" w:eastAsiaTheme="minorEastAsia" w:hAnsiTheme="minorEastAsia"/>
                <w:color w:val="000000" w:themeColor="text1"/>
                <w:sz w:val="24"/>
                <w:szCs w:val="24"/>
              </w:rPr>
              <w:t>在半导体封装高端装备领域的持续领先提供了坚实保障。</w:t>
            </w:r>
          </w:p>
          <w:p w14:paraId="3AF51A68"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6802E2BE"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Q6：公司对未来发展战略有何规划？</w:t>
            </w:r>
          </w:p>
          <w:p w14:paraId="51C1807E"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6：公司以控股型上市公司为发展定位，致力于打造新兴产业投资与运营平台。遵循“立足安徽，面向全球；围绕主业，做大做强”的指导思想，坚持内生增长与外延并购双轮驱动的发展路径：以内生发展夯实业务基础，实现基本经营目标；以外延并购完善产业布局，实现超预期发展。不断强化核心竞争力，实现“国内领先、国际知名”的品牌目标。</w:t>
            </w:r>
          </w:p>
          <w:p w14:paraId="076B4A14" w14:textId="77777777" w:rsidR="003F48F9" w:rsidRPr="00012DC7" w:rsidRDefault="003F48F9" w:rsidP="003F48F9">
            <w:pPr>
              <w:rPr>
                <w:rFonts w:asciiTheme="minorEastAsia" w:eastAsiaTheme="minorEastAsia" w:hAnsiTheme="minorEastAsia" w:hint="eastAsia"/>
                <w:color w:val="000000" w:themeColor="text1"/>
                <w:sz w:val="24"/>
                <w:szCs w:val="24"/>
              </w:rPr>
            </w:pPr>
          </w:p>
          <w:p w14:paraId="3A058EBF"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Q7：公司现在定向增发进展情况如何？</w:t>
            </w:r>
          </w:p>
          <w:p w14:paraId="0242190C" w14:textId="77777777" w:rsidR="003F48F9" w:rsidRPr="00012DC7" w:rsidRDefault="003F48F9" w:rsidP="003F48F9">
            <w:pPr>
              <w:rPr>
                <w:rFonts w:asciiTheme="minorEastAsia" w:eastAsiaTheme="minorEastAsia" w:hAnsiTheme="minorEastAsia" w:hint="eastAsia"/>
                <w:color w:val="000000" w:themeColor="text1"/>
                <w:sz w:val="24"/>
                <w:szCs w:val="24"/>
              </w:rPr>
            </w:pPr>
            <w:r w:rsidRPr="00012DC7">
              <w:rPr>
                <w:rFonts w:asciiTheme="minorEastAsia" w:eastAsiaTheme="minorEastAsia" w:hAnsiTheme="minorEastAsia" w:hint="eastAsia"/>
                <w:color w:val="000000" w:themeColor="text1"/>
                <w:sz w:val="24"/>
                <w:szCs w:val="24"/>
              </w:rPr>
              <w:t>A7：公司非公开发行股票事项按计划推进，目前进展顺利。</w:t>
            </w:r>
          </w:p>
          <w:p w14:paraId="3CC784CD" w14:textId="77777777" w:rsidR="003F48F9" w:rsidRPr="00012DC7" w:rsidRDefault="003F48F9" w:rsidP="003F48F9">
            <w:pPr>
              <w:rPr>
                <w:rFonts w:asciiTheme="minorEastAsia" w:eastAsiaTheme="minorEastAsia" w:hAnsiTheme="minorEastAsia" w:hint="eastAsia"/>
                <w:color w:val="000000" w:themeColor="text1"/>
                <w:sz w:val="24"/>
                <w:szCs w:val="24"/>
              </w:rPr>
            </w:pPr>
          </w:p>
        </w:tc>
      </w:tr>
    </w:tbl>
    <w:p w14:paraId="0A4C4143" w14:textId="77777777" w:rsidR="007F297E" w:rsidRPr="00B47929" w:rsidRDefault="007F297E" w:rsidP="007F297E">
      <w:pPr>
        <w:widowControl w:val="0"/>
        <w:autoSpaceDE w:val="0"/>
        <w:autoSpaceDN w:val="0"/>
        <w:spacing w:line="360" w:lineRule="auto"/>
        <w:jc w:val="right"/>
        <w:rPr>
          <w:rFonts w:ascii="宋体" w:hAnsi="宋体" w:cs="宋体" w:hint="eastAsia"/>
          <w:color w:val="000000"/>
          <w:sz w:val="24"/>
          <w:szCs w:val="24"/>
        </w:rPr>
      </w:pPr>
      <w:r>
        <w:rPr>
          <w:rFonts w:ascii="宋体" w:hAnsi="宋体" w:cs="宋体" w:hint="eastAsia"/>
          <w:sz w:val="28"/>
          <w:szCs w:val="28"/>
        </w:rPr>
        <w:lastRenderedPageBreak/>
        <w:t xml:space="preserve">                  </w:t>
      </w:r>
      <w:r w:rsidRPr="00B47929">
        <w:rPr>
          <w:rFonts w:ascii="宋体" w:hAnsi="宋体" w:cs="宋体" w:hint="eastAsia"/>
          <w:sz w:val="24"/>
          <w:szCs w:val="24"/>
        </w:rPr>
        <w:t>日  期：</w:t>
      </w:r>
      <w:r w:rsidR="00503882" w:rsidRPr="00B47929">
        <w:rPr>
          <w:rFonts w:ascii="宋体" w:hAnsi="宋体" w:cs="宋体" w:hint="eastAsia"/>
          <w:sz w:val="24"/>
          <w:szCs w:val="24"/>
        </w:rPr>
        <w:t>2026</w:t>
      </w:r>
      <w:r w:rsidRPr="00B47929">
        <w:rPr>
          <w:rFonts w:ascii="宋体" w:hAnsi="宋体" w:cs="宋体" w:hint="eastAsia"/>
          <w:sz w:val="24"/>
          <w:szCs w:val="24"/>
        </w:rPr>
        <w:t>年</w:t>
      </w:r>
      <w:r w:rsidR="00503882" w:rsidRPr="00B47929">
        <w:rPr>
          <w:rFonts w:ascii="宋体" w:hAnsi="宋体" w:cs="宋体" w:hint="eastAsia"/>
          <w:sz w:val="24"/>
          <w:szCs w:val="24"/>
        </w:rPr>
        <w:t>4</w:t>
      </w:r>
      <w:r w:rsidRPr="00B47929">
        <w:rPr>
          <w:rFonts w:ascii="宋体" w:hAnsi="宋体" w:cs="宋体" w:hint="eastAsia"/>
          <w:sz w:val="24"/>
          <w:szCs w:val="24"/>
        </w:rPr>
        <w:t>月</w:t>
      </w:r>
      <w:r w:rsidR="00503882" w:rsidRPr="00B47929">
        <w:rPr>
          <w:rFonts w:ascii="宋体" w:hAnsi="宋体" w:cs="宋体" w:hint="eastAsia"/>
          <w:sz w:val="24"/>
          <w:szCs w:val="24"/>
        </w:rPr>
        <w:t>20</w:t>
      </w:r>
      <w:r w:rsidRPr="00B47929">
        <w:rPr>
          <w:rFonts w:ascii="宋体" w:hAnsi="宋体" w:cs="宋体" w:hint="eastAsia"/>
          <w:sz w:val="24"/>
          <w:szCs w:val="24"/>
        </w:rPr>
        <w:t>日</w:t>
      </w:r>
    </w:p>
    <w:p w14:paraId="2A7066F5" w14:textId="77777777" w:rsidR="00C92EDB" w:rsidRPr="007F297E" w:rsidRDefault="00C92EDB"/>
    <w:sectPr w:rsidR="00C92EDB" w:rsidRPr="007F297E" w:rsidSect="00B47929">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ECFA" w14:textId="77777777" w:rsidR="001E23A2" w:rsidRDefault="001E23A2" w:rsidP="007F297E">
      <w:r>
        <w:separator/>
      </w:r>
    </w:p>
  </w:endnote>
  <w:endnote w:type="continuationSeparator" w:id="0">
    <w:p w14:paraId="3DFAD3F3" w14:textId="77777777" w:rsidR="001E23A2" w:rsidRDefault="001E23A2" w:rsidP="007F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8346" w14:textId="77777777" w:rsidR="001E23A2" w:rsidRDefault="001E23A2" w:rsidP="007F297E">
      <w:r>
        <w:separator/>
      </w:r>
    </w:p>
  </w:footnote>
  <w:footnote w:type="continuationSeparator" w:id="0">
    <w:p w14:paraId="61515D71" w14:textId="77777777" w:rsidR="001E23A2" w:rsidRDefault="001E23A2" w:rsidP="007F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1DB1"/>
    <w:multiLevelType w:val="hybridMultilevel"/>
    <w:tmpl w:val="75387298"/>
    <w:lvl w:ilvl="0" w:tplc="2250DE7A">
      <w:start w:val="5"/>
      <w:numFmt w:val="japaneseCounting"/>
      <w:lvlText w:val="%1、"/>
      <w:lvlJc w:val="left"/>
      <w:pPr>
        <w:ind w:left="456" w:hanging="456"/>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061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297E"/>
    <w:rsid w:val="00012DC7"/>
    <w:rsid w:val="00014F7F"/>
    <w:rsid w:val="000251DC"/>
    <w:rsid w:val="00027835"/>
    <w:rsid w:val="00052C68"/>
    <w:rsid w:val="0006171A"/>
    <w:rsid w:val="0007269A"/>
    <w:rsid w:val="00084675"/>
    <w:rsid w:val="00084825"/>
    <w:rsid w:val="000B0F20"/>
    <w:rsid w:val="000C0A0B"/>
    <w:rsid w:val="000C5ECA"/>
    <w:rsid w:val="000C611E"/>
    <w:rsid w:val="000C7BF6"/>
    <w:rsid w:val="000D0FBA"/>
    <w:rsid w:val="000F12E5"/>
    <w:rsid w:val="000F736C"/>
    <w:rsid w:val="00101C4A"/>
    <w:rsid w:val="0010390E"/>
    <w:rsid w:val="001066E4"/>
    <w:rsid w:val="00110512"/>
    <w:rsid w:val="00114AD2"/>
    <w:rsid w:val="00115A83"/>
    <w:rsid w:val="00131D0F"/>
    <w:rsid w:val="00133C3D"/>
    <w:rsid w:val="00142BA2"/>
    <w:rsid w:val="001634F1"/>
    <w:rsid w:val="00164B82"/>
    <w:rsid w:val="001654EE"/>
    <w:rsid w:val="00173625"/>
    <w:rsid w:val="00175375"/>
    <w:rsid w:val="00176947"/>
    <w:rsid w:val="001828CF"/>
    <w:rsid w:val="00192512"/>
    <w:rsid w:val="001A7B98"/>
    <w:rsid w:val="001C2AFE"/>
    <w:rsid w:val="001C3B29"/>
    <w:rsid w:val="001D4F39"/>
    <w:rsid w:val="001E23A2"/>
    <w:rsid w:val="001F2CB0"/>
    <w:rsid w:val="001F2DDE"/>
    <w:rsid w:val="001F3688"/>
    <w:rsid w:val="00203776"/>
    <w:rsid w:val="002237F1"/>
    <w:rsid w:val="00236B83"/>
    <w:rsid w:val="00242576"/>
    <w:rsid w:val="00242E0D"/>
    <w:rsid w:val="0024353A"/>
    <w:rsid w:val="00245E2E"/>
    <w:rsid w:val="00252832"/>
    <w:rsid w:val="00255367"/>
    <w:rsid w:val="0025574D"/>
    <w:rsid w:val="00263DCA"/>
    <w:rsid w:val="0029214E"/>
    <w:rsid w:val="002929F9"/>
    <w:rsid w:val="002A2AC6"/>
    <w:rsid w:val="002A516D"/>
    <w:rsid w:val="002B0772"/>
    <w:rsid w:val="002B667D"/>
    <w:rsid w:val="002B7EF5"/>
    <w:rsid w:val="002C1854"/>
    <w:rsid w:val="002C377F"/>
    <w:rsid w:val="002E6AC1"/>
    <w:rsid w:val="00303829"/>
    <w:rsid w:val="00305A63"/>
    <w:rsid w:val="0030679C"/>
    <w:rsid w:val="00307240"/>
    <w:rsid w:val="00307C12"/>
    <w:rsid w:val="00312380"/>
    <w:rsid w:val="00324509"/>
    <w:rsid w:val="0032453E"/>
    <w:rsid w:val="00325EA2"/>
    <w:rsid w:val="003367A7"/>
    <w:rsid w:val="00357BB0"/>
    <w:rsid w:val="00360BD7"/>
    <w:rsid w:val="00361161"/>
    <w:rsid w:val="003701D4"/>
    <w:rsid w:val="0038745A"/>
    <w:rsid w:val="00387667"/>
    <w:rsid w:val="00390326"/>
    <w:rsid w:val="00395EBB"/>
    <w:rsid w:val="0039743C"/>
    <w:rsid w:val="003A102E"/>
    <w:rsid w:val="003A1E49"/>
    <w:rsid w:val="003A433F"/>
    <w:rsid w:val="003A668F"/>
    <w:rsid w:val="003B7622"/>
    <w:rsid w:val="003C0108"/>
    <w:rsid w:val="003C2296"/>
    <w:rsid w:val="003C7375"/>
    <w:rsid w:val="003D1AA6"/>
    <w:rsid w:val="003D4D7D"/>
    <w:rsid w:val="003F0415"/>
    <w:rsid w:val="003F1327"/>
    <w:rsid w:val="003F48F9"/>
    <w:rsid w:val="004025E6"/>
    <w:rsid w:val="004047BD"/>
    <w:rsid w:val="00420D3B"/>
    <w:rsid w:val="00447D03"/>
    <w:rsid w:val="00466B40"/>
    <w:rsid w:val="0047191E"/>
    <w:rsid w:val="00477FD2"/>
    <w:rsid w:val="00480A07"/>
    <w:rsid w:val="00481846"/>
    <w:rsid w:val="00493C06"/>
    <w:rsid w:val="004941E2"/>
    <w:rsid w:val="004959EF"/>
    <w:rsid w:val="00496F92"/>
    <w:rsid w:val="004A4E6F"/>
    <w:rsid w:val="004B3371"/>
    <w:rsid w:val="004C3272"/>
    <w:rsid w:val="004E5409"/>
    <w:rsid w:val="004F41C5"/>
    <w:rsid w:val="00503882"/>
    <w:rsid w:val="0050388D"/>
    <w:rsid w:val="00504393"/>
    <w:rsid w:val="00517BDF"/>
    <w:rsid w:val="00520055"/>
    <w:rsid w:val="00523614"/>
    <w:rsid w:val="0053626B"/>
    <w:rsid w:val="005371F8"/>
    <w:rsid w:val="00542633"/>
    <w:rsid w:val="005620C3"/>
    <w:rsid w:val="005904E1"/>
    <w:rsid w:val="005A098A"/>
    <w:rsid w:val="005B2F9D"/>
    <w:rsid w:val="005B4E3C"/>
    <w:rsid w:val="005B5BE3"/>
    <w:rsid w:val="005C2598"/>
    <w:rsid w:val="005C2B1F"/>
    <w:rsid w:val="005C3122"/>
    <w:rsid w:val="005D0156"/>
    <w:rsid w:val="005D0636"/>
    <w:rsid w:val="005D083B"/>
    <w:rsid w:val="005D4911"/>
    <w:rsid w:val="005D757C"/>
    <w:rsid w:val="005F24E6"/>
    <w:rsid w:val="005F40C7"/>
    <w:rsid w:val="00603233"/>
    <w:rsid w:val="00605A2E"/>
    <w:rsid w:val="00624685"/>
    <w:rsid w:val="006338AA"/>
    <w:rsid w:val="0064784A"/>
    <w:rsid w:val="00650180"/>
    <w:rsid w:val="00651590"/>
    <w:rsid w:val="00652ED4"/>
    <w:rsid w:val="0065748E"/>
    <w:rsid w:val="00661477"/>
    <w:rsid w:val="006642D8"/>
    <w:rsid w:val="00665EB2"/>
    <w:rsid w:val="00671FCC"/>
    <w:rsid w:val="006722EC"/>
    <w:rsid w:val="0068271F"/>
    <w:rsid w:val="006A7639"/>
    <w:rsid w:val="006B131B"/>
    <w:rsid w:val="006B43B9"/>
    <w:rsid w:val="006B76D2"/>
    <w:rsid w:val="006C2BA3"/>
    <w:rsid w:val="006C3782"/>
    <w:rsid w:val="006D3DA8"/>
    <w:rsid w:val="006D3E75"/>
    <w:rsid w:val="006D4A26"/>
    <w:rsid w:val="006D58C1"/>
    <w:rsid w:val="006F3F4A"/>
    <w:rsid w:val="00702671"/>
    <w:rsid w:val="007116BD"/>
    <w:rsid w:val="00712096"/>
    <w:rsid w:val="007173E6"/>
    <w:rsid w:val="007210CA"/>
    <w:rsid w:val="00734DEB"/>
    <w:rsid w:val="00740BCF"/>
    <w:rsid w:val="00742BB1"/>
    <w:rsid w:val="007448A8"/>
    <w:rsid w:val="00744AF7"/>
    <w:rsid w:val="00767A63"/>
    <w:rsid w:val="00767DFC"/>
    <w:rsid w:val="00771541"/>
    <w:rsid w:val="00774910"/>
    <w:rsid w:val="007A444F"/>
    <w:rsid w:val="007B04E2"/>
    <w:rsid w:val="007C2D5F"/>
    <w:rsid w:val="007D7A23"/>
    <w:rsid w:val="007F0E58"/>
    <w:rsid w:val="007F297E"/>
    <w:rsid w:val="00800F73"/>
    <w:rsid w:val="0080101F"/>
    <w:rsid w:val="00802A3B"/>
    <w:rsid w:val="00804A51"/>
    <w:rsid w:val="00804EDC"/>
    <w:rsid w:val="00805A9B"/>
    <w:rsid w:val="00805E89"/>
    <w:rsid w:val="00806FC5"/>
    <w:rsid w:val="00807A37"/>
    <w:rsid w:val="00810660"/>
    <w:rsid w:val="0081167E"/>
    <w:rsid w:val="00811BFF"/>
    <w:rsid w:val="00811CC0"/>
    <w:rsid w:val="00814EB8"/>
    <w:rsid w:val="00850720"/>
    <w:rsid w:val="00871F54"/>
    <w:rsid w:val="00882005"/>
    <w:rsid w:val="00890F34"/>
    <w:rsid w:val="00892B52"/>
    <w:rsid w:val="00893163"/>
    <w:rsid w:val="008953B3"/>
    <w:rsid w:val="00895C30"/>
    <w:rsid w:val="008A60E6"/>
    <w:rsid w:val="008A7398"/>
    <w:rsid w:val="008B15D9"/>
    <w:rsid w:val="008B24DF"/>
    <w:rsid w:val="008C2A17"/>
    <w:rsid w:val="008C5920"/>
    <w:rsid w:val="008E7CB6"/>
    <w:rsid w:val="008F2348"/>
    <w:rsid w:val="00902551"/>
    <w:rsid w:val="009026F9"/>
    <w:rsid w:val="00904869"/>
    <w:rsid w:val="009059E9"/>
    <w:rsid w:val="0092647A"/>
    <w:rsid w:val="009310B0"/>
    <w:rsid w:val="00931A50"/>
    <w:rsid w:val="00932269"/>
    <w:rsid w:val="00935ABD"/>
    <w:rsid w:val="00953477"/>
    <w:rsid w:val="00965C80"/>
    <w:rsid w:val="0097073B"/>
    <w:rsid w:val="0097384D"/>
    <w:rsid w:val="00975A05"/>
    <w:rsid w:val="00977905"/>
    <w:rsid w:val="00981B92"/>
    <w:rsid w:val="00983B5B"/>
    <w:rsid w:val="00990F0E"/>
    <w:rsid w:val="0099247C"/>
    <w:rsid w:val="009958D2"/>
    <w:rsid w:val="009A36DF"/>
    <w:rsid w:val="009A4569"/>
    <w:rsid w:val="009A4F32"/>
    <w:rsid w:val="009B452D"/>
    <w:rsid w:val="009B5378"/>
    <w:rsid w:val="009C0F68"/>
    <w:rsid w:val="009C10C9"/>
    <w:rsid w:val="009C1770"/>
    <w:rsid w:val="009C502F"/>
    <w:rsid w:val="009C5714"/>
    <w:rsid w:val="009D2523"/>
    <w:rsid w:val="009F5635"/>
    <w:rsid w:val="009F6E9E"/>
    <w:rsid w:val="00A0342C"/>
    <w:rsid w:val="00A139F1"/>
    <w:rsid w:val="00A25520"/>
    <w:rsid w:val="00A31524"/>
    <w:rsid w:val="00A43B8A"/>
    <w:rsid w:val="00A6006C"/>
    <w:rsid w:val="00A6764D"/>
    <w:rsid w:val="00A771C2"/>
    <w:rsid w:val="00A83EBA"/>
    <w:rsid w:val="00A858C9"/>
    <w:rsid w:val="00AC761C"/>
    <w:rsid w:val="00AE4D89"/>
    <w:rsid w:val="00AF4142"/>
    <w:rsid w:val="00B23699"/>
    <w:rsid w:val="00B30906"/>
    <w:rsid w:val="00B35524"/>
    <w:rsid w:val="00B40D5A"/>
    <w:rsid w:val="00B44E7D"/>
    <w:rsid w:val="00B47929"/>
    <w:rsid w:val="00B56740"/>
    <w:rsid w:val="00B90958"/>
    <w:rsid w:val="00BA1058"/>
    <w:rsid w:val="00BA1D3D"/>
    <w:rsid w:val="00BA28CB"/>
    <w:rsid w:val="00BC01C6"/>
    <w:rsid w:val="00BD1A6E"/>
    <w:rsid w:val="00BD34DF"/>
    <w:rsid w:val="00BD5854"/>
    <w:rsid w:val="00BE00BD"/>
    <w:rsid w:val="00BE3FF6"/>
    <w:rsid w:val="00BE7A3A"/>
    <w:rsid w:val="00BF1F2D"/>
    <w:rsid w:val="00C03303"/>
    <w:rsid w:val="00C06211"/>
    <w:rsid w:val="00C1566C"/>
    <w:rsid w:val="00C24460"/>
    <w:rsid w:val="00C25364"/>
    <w:rsid w:val="00C30DE8"/>
    <w:rsid w:val="00C31D21"/>
    <w:rsid w:val="00C4045D"/>
    <w:rsid w:val="00C4165F"/>
    <w:rsid w:val="00C428E3"/>
    <w:rsid w:val="00C42CA6"/>
    <w:rsid w:val="00C42E63"/>
    <w:rsid w:val="00C4602A"/>
    <w:rsid w:val="00C529C8"/>
    <w:rsid w:val="00C56A65"/>
    <w:rsid w:val="00C6269E"/>
    <w:rsid w:val="00C62A5C"/>
    <w:rsid w:val="00C676A7"/>
    <w:rsid w:val="00C67B46"/>
    <w:rsid w:val="00C72923"/>
    <w:rsid w:val="00C842A1"/>
    <w:rsid w:val="00C84926"/>
    <w:rsid w:val="00C84B0D"/>
    <w:rsid w:val="00C9232A"/>
    <w:rsid w:val="00C92EDB"/>
    <w:rsid w:val="00CC2324"/>
    <w:rsid w:val="00CC5B23"/>
    <w:rsid w:val="00CD6C4A"/>
    <w:rsid w:val="00D046B7"/>
    <w:rsid w:val="00D12763"/>
    <w:rsid w:val="00D17171"/>
    <w:rsid w:val="00D1799D"/>
    <w:rsid w:val="00D203D2"/>
    <w:rsid w:val="00D20AC1"/>
    <w:rsid w:val="00D23C12"/>
    <w:rsid w:val="00D33FEE"/>
    <w:rsid w:val="00D34B80"/>
    <w:rsid w:val="00D617B8"/>
    <w:rsid w:val="00D61B8A"/>
    <w:rsid w:val="00D63A00"/>
    <w:rsid w:val="00D8244C"/>
    <w:rsid w:val="00D84085"/>
    <w:rsid w:val="00D96D4C"/>
    <w:rsid w:val="00DB2541"/>
    <w:rsid w:val="00DB6176"/>
    <w:rsid w:val="00DC3285"/>
    <w:rsid w:val="00DC4908"/>
    <w:rsid w:val="00DE108A"/>
    <w:rsid w:val="00DF4325"/>
    <w:rsid w:val="00DF6D09"/>
    <w:rsid w:val="00DF7B3A"/>
    <w:rsid w:val="00DF7BAE"/>
    <w:rsid w:val="00E023A3"/>
    <w:rsid w:val="00E2040B"/>
    <w:rsid w:val="00E26FA4"/>
    <w:rsid w:val="00E35BD1"/>
    <w:rsid w:val="00E37F78"/>
    <w:rsid w:val="00E44A2F"/>
    <w:rsid w:val="00E51211"/>
    <w:rsid w:val="00E76419"/>
    <w:rsid w:val="00E76B98"/>
    <w:rsid w:val="00E7796A"/>
    <w:rsid w:val="00E77FAA"/>
    <w:rsid w:val="00E81735"/>
    <w:rsid w:val="00E93D8F"/>
    <w:rsid w:val="00E96754"/>
    <w:rsid w:val="00EA2992"/>
    <w:rsid w:val="00ED385C"/>
    <w:rsid w:val="00ED61DA"/>
    <w:rsid w:val="00EF025B"/>
    <w:rsid w:val="00F053CE"/>
    <w:rsid w:val="00F076BA"/>
    <w:rsid w:val="00F204C5"/>
    <w:rsid w:val="00F22990"/>
    <w:rsid w:val="00F22C3D"/>
    <w:rsid w:val="00F344A0"/>
    <w:rsid w:val="00F52E77"/>
    <w:rsid w:val="00F5307E"/>
    <w:rsid w:val="00F55341"/>
    <w:rsid w:val="00F70731"/>
    <w:rsid w:val="00F85961"/>
    <w:rsid w:val="00F86945"/>
    <w:rsid w:val="00FB37C1"/>
    <w:rsid w:val="00FB4C67"/>
    <w:rsid w:val="00FC07D4"/>
    <w:rsid w:val="00FC27E2"/>
    <w:rsid w:val="00FC61EA"/>
    <w:rsid w:val="00FE2A97"/>
    <w:rsid w:val="00FF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48DB5"/>
  <w15:docId w15:val="{7185ED63-0926-4F07-BF22-3D166D44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97E"/>
    <w:pPr>
      <w:jc w:val="both"/>
    </w:pPr>
    <w:rPr>
      <w:rFonts w:ascii="Times New Roman" w:eastAsia="宋体" w:hAnsi="Times New Roman" w:cs="Times New Roman"/>
      <w:szCs w:val="20"/>
    </w:rPr>
  </w:style>
  <w:style w:type="paragraph" w:styleId="3">
    <w:name w:val="heading 3"/>
    <w:basedOn w:val="a"/>
    <w:next w:val="a"/>
    <w:link w:val="30"/>
    <w:uiPriority w:val="9"/>
    <w:qFormat/>
    <w:rsid w:val="00324509"/>
    <w:pPr>
      <w:keepNext/>
      <w:keepLines/>
      <w:widowControl w:val="0"/>
      <w:spacing w:before="60" w:line="360" w:lineRule="auto"/>
      <w:outlineLvl w:val="2"/>
    </w:pPr>
    <w:rPr>
      <w:rFonts w:ascii="Calibri" w:hAnsi="Calibr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F297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F297E"/>
    <w:rPr>
      <w:sz w:val="18"/>
      <w:szCs w:val="18"/>
    </w:rPr>
  </w:style>
  <w:style w:type="paragraph" w:styleId="a5">
    <w:name w:val="footer"/>
    <w:basedOn w:val="a"/>
    <w:link w:val="a6"/>
    <w:uiPriority w:val="99"/>
    <w:semiHidden/>
    <w:unhideWhenUsed/>
    <w:rsid w:val="007F297E"/>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7F297E"/>
    <w:rPr>
      <w:sz w:val="18"/>
      <w:szCs w:val="18"/>
    </w:rPr>
  </w:style>
  <w:style w:type="paragraph" w:styleId="a7">
    <w:name w:val="Normal (Web)"/>
    <w:basedOn w:val="a"/>
    <w:rsid w:val="003C0108"/>
    <w:pPr>
      <w:widowControl w:val="0"/>
      <w:spacing w:before="100" w:beforeAutospacing="1" w:after="100" w:afterAutospacing="1"/>
      <w:jc w:val="left"/>
    </w:pPr>
    <w:rPr>
      <w:rFonts w:ascii="Calibri" w:hAnsi="Calibri"/>
      <w:kern w:val="0"/>
      <w:sz w:val="24"/>
      <w:szCs w:val="24"/>
    </w:rPr>
  </w:style>
  <w:style w:type="character" w:customStyle="1" w:styleId="3Char">
    <w:name w:val="标题 3 Char"/>
    <w:basedOn w:val="a0"/>
    <w:uiPriority w:val="9"/>
    <w:semiHidden/>
    <w:rsid w:val="00324509"/>
    <w:rPr>
      <w:rFonts w:ascii="Times New Roman" w:eastAsia="宋体" w:hAnsi="Times New Roman" w:cs="Times New Roman"/>
      <w:b/>
      <w:bCs/>
      <w:sz w:val="32"/>
      <w:szCs w:val="32"/>
    </w:rPr>
  </w:style>
  <w:style w:type="character" w:customStyle="1" w:styleId="30">
    <w:name w:val="标题 3 字符"/>
    <w:basedOn w:val="a0"/>
    <w:link w:val="3"/>
    <w:uiPriority w:val="9"/>
    <w:qFormat/>
    <w:rsid w:val="00324509"/>
    <w:rPr>
      <w:rFonts w:ascii="Calibri" w:eastAsia="宋体" w:hAnsi="Calibri" w:cs="Times New Roman"/>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204</cp:revision>
  <dcterms:created xsi:type="dcterms:W3CDTF">2022-01-20T01:31:00Z</dcterms:created>
  <dcterms:modified xsi:type="dcterms:W3CDTF">2026-04-21T09:29:00Z</dcterms:modified>
</cp:coreProperties>
</file>