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8DD1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 xml:space="preserve">证券代码：600331                        </w:t>
      </w:r>
      <w:r>
        <w:rPr>
          <w:rFonts w:hint="eastAsia" w:cs="Times New Roman"/>
          <w:kern w:val="2"/>
          <w:sz w:val="24"/>
          <w:szCs w:val="24"/>
          <w:lang w:val="en-US" w:eastAsia="zh-CN" w:bidi="ar-SA"/>
        </w:rPr>
        <w:t xml:space="preserve">   </w:t>
      </w:r>
      <w:r>
        <w:rPr>
          <w:rFonts w:hint="eastAsia" w:ascii="宋体" w:hAnsi="宋体" w:eastAsia="宋体" w:cs="Times New Roman"/>
          <w:kern w:val="2"/>
          <w:sz w:val="24"/>
          <w:szCs w:val="24"/>
          <w:lang w:val="en-US" w:bidi="ar-SA"/>
        </w:rPr>
        <w:t xml:space="preserve">       证券简称：宏达股份</w:t>
      </w:r>
    </w:p>
    <w:p w14:paraId="3EF31F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kern w:val="2"/>
          <w:sz w:val="36"/>
          <w:szCs w:val="36"/>
          <w:lang w:val="en-US" w:bidi="ar-SA"/>
        </w:rPr>
      </w:pPr>
    </w:p>
    <w:p w14:paraId="4B848C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kern w:val="2"/>
          <w:sz w:val="36"/>
          <w:szCs w:val="36"/>
          <w:lang w:val="en-US" w:bidi="ar-SA"/>
        </w:rPr>
      </w:pPr>
      <w:r>
        <w:rPr>
          <w:rFonts w:hint="eastAsia" w:ascii="黑体" w:hAnsi="黑体" w:eastAsia="黑体" w:cs="Times New Roman"/>
          <w:kern w:val="2"/>
          <w:sz w:val="36"/>
          <w:szCs w:val="36"/>
          <w:lang w:val="en-US" w:bidi="ar-SA"/>
        </w:rPr>
        <w:t>四川宏达股份有限公司</w:t>
      </w:r>
    </w:p>
    <w:p w14:paraId="20353A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kern w:val="2"/>
          <w:sz w:val="36"/>
          <w:szCs w:val="36"/>
          <w:lang w:val="en-US" w:bidi="ar-SA"/>
        </w:rPr>
      </w:pPr>
      <w:r>
        <w:rPr>
          <w:rFonts w:hint="eastAsia" w:ascii="黑体" w:hAnsi="黑体" w:eastAsia="黑体" w:cs="Times New Roman"/>
          <w:kern w:val="2"/>
          <w:sz w:val="36"/>
          <w:szCs w:val="36"/>
          <w:lang w:val="en-US" w:bidi="ar-SA"/>
        </w:rPr>
        <w:t>投资者关系活动记录表</w:t>
      </w:r>
    </w:p>
    <w:p w14:paraId="2E6A4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kern w:val="2"/>
          <w:sz w:val="36"/>
          <w:szCs w:val="36"/>
          <w:lang w:val="en-US" w:bidi="ar-SA"/>
        </w:rPr>
      </w:pPr>
    </w:p>
    <w:tbl>
      <w:tblPr>
        <w:tblStyle w:val="14"/>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80"/>
        <w:gridCol w:w="5945"/>
      </w:tblGrid>
      <w:tr w14:paraId="55DEC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jc w:val="center"/>
        </w:trPr>
        <w:tc>
          <w:tcPr>
            <w:tcW w:w="2580" w:type="dxa"/>
            <w:vAlign w:val="center"/>
          </w:tcPr>
          <w:p w14:paraId="6FE0B56D">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投资者关系活动类别</w:t>
            </w:r>
          </w:p>
        </w:tc>
        <w:tc>
          <w:tcPr>
            <w:tcW w:w="5945" w:type="dxa"/>
          </w:tcPr>
          <w:p w14:paraId="20376765">
            <w:pPr>
              <w:pStyle w:val="17"/>
              <w:ind w:firstLine="129" w:firstLineChars="54"/>
              <w:rPr>
                <w:rFonts w:hint="eastAsia" w:ascii="宋体" w:hAnsi="宋体" w:eastAsia="宋体" w:cs="宋体"/>
                <w:sz w:val="24"/>
                <w:szCs w:val="24"/>
              </w:rPr>
            </w:pPr>
          </w:p>
          <w:p w14:paraId="63DA4D38">
            <w:pPr>
              <w:pStyle w:val="17"/>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5C5472A0">
            <w:pPr>
              <w:pStyle w:val="17"/>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zh-CN" w:eastAsia="zh-CN" w:bidi="zh-CN"/>
                  </w:rPr>
                  <w:t>☐</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78B86299">
            <w:pPr>
              <w:pStyle w:val="17"/>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sz w:val="24"/>
                    <w:szCs w:val="24"/>
                    <w:lang w:val="zh-CN" w:eastAsia="zh-CN" w:bidi="zh-CN"/>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7E1F47CE">
            <w:pPr>
              <w:pStyle w:val="17"/>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14:paraId="7E83DBC4">
            <w:pPr>
              <w:pStyle w:val="17"/>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其他（请文字说明其他活动内容）</w:t>
            </w:r>
          </w:p>
        </w:tc>
      </w:tr>
      <w:tr w14:paraId="383D6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580" w:type="dxa"/>
            <w:vAlign w:val="center"/>
          </w:tcPr>
          <w:p w14:paraId="3F288EA1">
            <w:pPr>
              <w:pStyle w:val="17"/>
              <w:ind w:firstLine="0" w:firstLineChars="0"/>
              <w:jc w:val="center"/>
              <w:rPr>
                <w:rFonts w:hint="eastAsia" w:ascii="宋体" w:hAnsi="宋体" w:eastAsia="宋体" w:cs="宋体"/>
                <w:sz w:val="24"/>
                <w:szCs w:val="24"/>
                <w:lang w:val="en-US"/>
              </w:rPr>
            </w:pPr>
            <w:r>
              <w:rPr>
                <w:rFonts w:hint="eastAsia" w:ascii="宋体" w:hAnsi="宋体" w:eastAsia="宋体" w:cs="宋体"/>
                <w:sz w:val="24"/>
                <w:szCs w:val="24"/>
                <w:lang w:val="en-US"/>
              </w:rPr>
              <w:t>形式</w:t>
            </w:r>
          </w:p>
        </w:tc>
        <w:tc>
          <w:tcPr>
            <w:tcW w:w="5945" w:type="dxa"/>
          </w:tcPr>
          <w:p w14:paraId="123BCB22">
            <w:pPr>
              <w:pStyle w:val="17"/>
              <w:rPr>
                <w:rFonts w:hint="eastAsia" w:ascii="宋体" w:hAnsi="宋体" w:eastAsia="宋体" w:cs="宋体"/>
                <w:sz w:val="24"/>
                <w:szCs w:val="24"/>
                <w:lang w:val="en-US"/>
              </w:rPr>
            </w:pPr>
            <w:sdt>
              <w:sdtPr>
                <w:rPr>
                  <w:rFonts w:hint="eastAsia" w:ascii="宋体" w:hAnsi="宋体" w:eastAsia="宋体" w:cs="宋体"/>
                  <w:sz w:val="24"/>
                  <w:szCs w:val="24"/>
                </w:rPr>
                <w:id w:val="201993987"/>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lang w:val="en-US"/>
              </w:rPr>
              <w:t xml:space="preserve">现场     </w:t>
            </w:r>
            <w:sdt>
              <w:sdtPr>
                <w:rPr>
                  <w:rFonts w:hint="eastAsia" w:ascii="宋体" w:hAnsi="宋体" w:eastAsia="宋体" w:cs="宋体"/>
                  <w:sz w:val="24"/>
                  <w:szCs w:val="24"/>
                </w:rPr>
                <w:id w:val="-1902896415"/>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lang w:val="en-US"/>
              </w:rPr>
              <w:t xml:space="preserve">网上    </w:t>
            </w:r>
            <w:sdt>
              <w:sdtPr>
                <w:rPr>
                  <w:rFonts w:hint="eastAsia" w:ascii="宋体" w:hAnsi="宋体" w:eastAsia="宋体" w:cs="宋体"/>
                  <w:sz w:val="24"/>
                  <w:szCs w:val="24"/>
                </w:rPr>
                <w:id w:val="107656179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lang w:val="en-US"/>
              </w:rPr>
              <w:t>电话会议</w:t>
            </w:r>
          </w:p>
        </w:tc>
      </w:tr>
      <w:tr w14:paraId="72BC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2580" w:type="dxa"/>
            <w:vAlign w:val="center"/>
          </w:tcPr>
          <w:p w14:paraId="38DEFF63">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参与单位名称</w:t>
            </w:r>
          </w:p>
        </w:tc>
        <w:tc>
          <w:tcPr>
            <w:tcW w:w="5945" w:type="dxa"/>
            <w:vAlign w:val="center"/>
          </w:tcPr>
          <w:p w14:paraId="34E44476">
            <w:pPr>
              <w:pStyle w:val="17"/>
              <w:ind w:firstLine="0" w:firstLineChars="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中信证券、南方基金、广发基金、汇添富基金</w:t>
            </w:r>
            <w:r>
              <w:rPr>
                <w:rFonts w:hint="eastAsia" w:cs="宋体"/>
                <w:sz w:val="24"/>
                <w:szCs w:val="24"/>
                <w:lang w:val="en-US" w:eastAsia="zh-CN"/>
              </w:rPr>
              <w:t>、</w:t>
            </w:r>
            <w:r>
              <w:rPr>
                <w:rFonts w:hint="default" w:ascii="宋体" w:hAnsi="宋体" w:eastAsia="宋体" w:cs="宋体"/>
                <w:sz w:val="24"/>
                <w:szCs w:val="24"/>
                <w:lang w:val="en-US" w:eastAsia="zh-CN"/>
              </w:rPr>
              <w:t>鹏山资产、盛宇投资、翰聚基金、人保养老、重阳投资</w:t>
            </w:r>
            <w:r>
              <w:rPr>
                <w:rFonts w:hint="eastAsia" w:cs="宋体"/>
                <w:sz w:val="24"/>
                <w:szCs w:val="24"/>
                <w:lang w:val="en-US" w:eastAsia="zh-CN"/>
              </w:rPr>
              <w:t>、明达资产、博鸿投资、一乾私募、中海外钜融</w:t>
            </w:r>
          </w:p>
        </w:tc>
      </w:tr>
      <w:tr w14:paraId="08B0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14:paraId="3DCF02FF">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时间</w:t>
            </w:r>
          </w:p>
        </w:tc>
        <w:tc>
          <w:tcPr>
            <w:tcW w:w="5945" w:type="dxa"/>
            <w:vAlign w:val="center"/>
          </w:tcPr>
          <w:p w14:paraId="34BA5D61">
            <w:pPr>
              <w:ind w:firstLine="0" w:firstLineChars="0"/>
              <w:rPr>
                <w:rFonts w:hint="default" w:ascii="宋体" w:hAnsi="宋体" w:eastAsia="宋体" w:cs="宋体"/>
                <w:sz w:val="24"/>
                <w:szCs w:val="24"/>
                <w:lang w:val="en-US" w:eastAsia="zh-CN"/>
              </w:rPr>
            </w:pPr>
            <w:r>
              <w:rPr>
                <w:rFonts w:hint="eastAsia" w:ascii="宋体" w:hAnsi="宋体" w:eastAsia="宋体" w:cs="宋体"/>
                <w:sz w:val="24"/>
                <w:szCs w:val="24"/>
              </w:rPr>
              <w:t>202</w:t>
            </w:r>
            <w:r>
              <w:rPr>
                <w:rFonts w:hint="eastAsia" w:cs="宋体"/>
                <w:sz w:val="24"/>
                <w:szCs w:val="24"/>
                <w:lang w:val="en-US" w:eastAsia="zh-CN"/>
              </w:rPr>
              <w:t>6</w:t>
            </w:r>
            <w:r>
              <w:rPr>
                <w:rFonts w:hint="eastAsia" w:ascii="宋体" w:hAnsi="宋体" w:eastAsia="宋体" w:cs="宋体"/>
                <w:sz w:val="24"/>
                <w:szCs w:val="24"/>
              </w:rPr>
              <w:t>年</w:t>
            </w:r>
            <w:r>
              <w:rPr>
                <w:rFonts w:hint="eastAsia" w:cs="宋体"/>
                <w:sz w:val="24"/>
                <w:szCs w:val="24"/>
                <w:lang w:val="en-US" w:eastAsia="zh-CN"/>
              </w:rPr>
              <w:t>4月8日—</w:t>
            </w:r>
            <w:r>
              <w:rPr>
                <w:rFonts w:hint="eastAsia" w:ascii="宋体" w:hAnsi="宋体" w:eastAsia="宋体" w:cs="宋体"/>
                <w:sz w:val="24"/>
                <w:szCs w:val="24"/>
              </w:rPr>
              <w:t>202</w:t>
            </w:r>
            <w:r>
              <w:rPr>
                <w:rFonts w:hint="eastAsia" w:cs="宋体"/>
                <w:sz w:val="24"/>
                <w:szCs w:val="24"/>
                <w:lang w:val="en-US" w:eastAsia="zh-CN"/>
              </w:rPr>
              <w:t>6</w:t>
            </w:r>
            <w:r>
              <w:rPr>
                <w:rFonts w:hint="eastAsia" w:ascii="宋体" w:hAnsi="宋体" w:eastAsia="宋体" w:cs="宋体"/>
                <w:sz w:val="24"/>
                <w:szCs w:val="24"/>
              </w:rPr>
              <w:t>年</w:t>
            </w:r>
            <w:r>
              <w:rPr>
                <w:rFonts w:hint="eastAsia" w:cs="宋体"/>
                <w:sz w:val="24"/>
                <w:szCs w:val="24"/>
                <w:lang w:val="en-US" w:eastAsia="zh-CN"/>
              </w:rPr>
              <w:t>4月22日</w:t>
            </w:r>
          </w:p>
        </w:tc>
      </w:tr>
      <w:tr w14:paraId="5F701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14:paraId="02F2345E">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地点</w:t>
            </w:r>
          </w:p>
        </w:tc>
        <w:tc>
          <w:tcPr>
            <w:tcW w:w="5945" w:type="dxa"/>
            <w:vAlign w:val="center"/>
          </w:tcPr>
          <w:p w14:paraId="28E31996">
            <w:pPr>
              <w:pStyle w:val="17"/>
              <w:ind w:firstLine="0" w:firstLineChars="0"/>
              <w:rPr>
                <w:rFonts w:hint="default" w:ascii="宋体" w:hAnsi="宋体" w:eastAsia="宋体" w:cs="宋体"/>
                <w:sz w:val="24"/>
                <w:szCs w:val="24"/>
                <w:lang w:val="en-US" w:eastAsia="zh-CN"/>
              </w:rPr>
            </w:pPr>
            <w:r>
              <w:rPr>
                <w:rFonts w:hint="eastAsia" w:cs="宋体"/>
                <w:sz w:val="24"/>
                <w:szCs w:val="24"/>
                <w:lang w:val="en-US" w:eastAsia="zh-CN"/>
              </w:rPr>
              <w:t>公司会议室、线上会议</w:t>
            </w:r>
          </w:p>
        </w:tc>
      </w:tr>
      <w:tr w14:paraId="2814A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580" w:type="dxa"/>
            <w:vAlign w:val="center"/>
          </w:tcPr>
          <w:p w14:paraId="018636E5">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上市公司接待人员姓名</w:t>
            </w:r>
          </w:p>
        </w:tc>
        <w:tc>
          <w:tcPr>
            <w:tcW w:w="5945" w:type="dxa"/>
            <w:vAlign w:val="center"/>
          </w:tcPr>
          <w:p w14:paraId="56892B59">
            <w:pPr>
              <w:pStyle w:val="17"/>
              <w:ind w:firstLine="0" w:firstLineChars="0"/>
              <w:rPr>
                <w:rFonts w:hint="default" w:ascii="宋体" w:hAnsi="宋体" w:eastAsia="宋体" w:cs="宋体"/>
                <w:sz w:val="24"/>
                <w:szCs w:val="24"/>
                <w:lang w:val="en-US" w:eastAsia="zh-CN"/>
              </w:rPr>
            </w:pPr>
            <w:r>
              <w:rPr>
                <w:rFonts w:hint="eastAsia" w:cs="宋体"/>
                <w:sz w:val="24"/>
                <w:szCs w:val="24"/>
                <w:lang w:val="en-US" w:eastAsia="zh-CN"/>
              </w:rPr>
              <w:t>董事会秘书  王玲</w:t>
            </w:r>
          </w:p>
        </w:tc>
      </w:tr>
      <w:tr w14:paraId="7D785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2580" w:type="dxa"/>
            <w:vAlign w:val="center"/>
          </w:tcPr>
          <w:p w14:paraId="23E0C9B6">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交流内容及问答记录</w:t>
            </w:r>
          </w:p>
        </w:tc>
        <w:tc>
          <w:tcPr>
            <w:tcW w:w="5945" w:type="dxa"/>
          </w:tcPr>
          <w:p w14:paraId="55320510">
            <w:pPr>
              <w:numPr>
                <w:ilvl w:val="0"/>
                <w:numId w:val="0"/>
              </w:numPr>
              <w:spacing w:line="360" w:lineRule="auto"/>
              <w:ind w:left="0" w:leftChars="0" w:firstLine="422" w:firstLineChars="175"/>
              <w:rPr>
                <w:rFonts w:hint="eastAsia" w:cs="宋体"/>
                <w:b/>
                <w:bCs/>
                <w:color w:val="000000"/>
                <w:sz w:val="24"/>
                <w:szCs w:val="24"/>
                <w:lang w:val="en-US" w:eastAsia="zh-CN"/>
              </w:rPr>
            </w:pPr>
            <w:r>
              <w:rPr>
                <w:rFonts w:hint="eastAsia" w:cs="宋体"/>
                <w:b/>
                <w:bCs/>
                <w:color w:val="000000"/>
                <w:sz w:val="24"/>
                <w:szCs w:val="24"/>
                <w:lang w:val="en-US" w:eastAsia="zh-CN"/>
              </w:rPr>
              <w:t>1、关注到公司去年净利润为负，主要是哪些因素造成的？</w:t>
            </w:r>
          </w:p>
          <w:p w14:paraId="74D269A3">
            <w:pPr>
              <w:numPr>
                <w:ilvl w:val="0"/>
                <w:numId w:val="0"/>
              </w:numPr>
              <w:spacing w:line="360" w:lineRule="auto"/>
              <w:ind w:firstLine="480" w:firstLineChars="200"/>
              <w:rPr>
                <w:rFonts w:hint="default"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答：</w:t>
            </w:r>
            <w:r>
              <w:rPr>
                <w:rFonts w:hint="eastAsia" w:cs="宋体"/>
                <w:b w:val="0"/>
                <w:bCs w:val="0"/>
                <w:color w:val="000000"/>
                <w:sz w:val="24"/>
                <w:szCs w:val="24"/>
                <w:lang w:val="en-US" w:eastAsia="zh-CN"/>
              </w:rPr>
              <w:t>2025年</w:t>
            </w:r>
            <w:r>
              <w:rPr>
                <w:rFonts w:hint="eastAsia" w:ascii="宋体" w:hAnsi="宋体" w:eastAsia="宋体" w:cs="宋体"/>
                <w:b w:val="0"/>
                <w:bCs w:val="0"/>
                <w:color w:val="000000"/>
                <w:sz w:val="24"/>
                <w:szCs w:val="24"/>
                <w:lang w:val="en-US" w:eastAsia="zh-CN"/>
              </w:rPr>
              <w:t>，公司直面磷化工和有色金属锌冶炼行业整体市场波动、原料成本高企、下游需求偏弱的多重经营压力。</w:t>
            </w:r>
            <w:r>
              <w:rPr>
                <w:rFonts w:hint="eastAsia" w:cs="宋体"/>
                <w:b w:val="0"/>
                <w:bCs w:val="0"/>
                <w:color w:val="000000"/>
                <w:sz w:val="24"/>
                <w:szCs w:val="24"/>
                <w:lang w:val="en-US" w:eastAsia="zh-CN"/>
              </w:rPr>
              <w:t>磷化工方面，磷矿石作为核心原料，全年维持高位运行，同时，硫磺价格受国际供需格局及能源成本传导影响，较上年同期大幅上涨，西南片区液体硫磺2025年均价达2,458元/吨，年内涨幅高达153%，原材料价格上涨极大挤压了公司磷化工产品利润。</w:t>
            </w:r>
            <w:r>
              <w:rPr>
                <w:rFonts w:hint="default" w:cs="宋体"/>
                <w:b w:val="0"/>
                <w:bCs w:val="0"/>
                <w:color w:val="000000"/>
                <w:sz w:val="24"/>
                <w:szCs w:val="24"/>
                <w:lang w:val="en-US" w:eastAsia="zh-CN"/>
              </w:rPr>
              <w:t>锌冶炼业务方面，全球锌精矿供应</w:t>
            </w:r>
            <w:r>
              <w:rPr>
                <w:rFonts w:hint="eastAsia" w:cs="宋体"/>
                <w:b w:val="0"/>
                <w:bCs w:val="0"/>
                <w:color w:val="000000"/>
                <w:sz w:val="24"/>
                <w:szCs w:val="24"/>
                <w:lang w:val="en-US" w:eastAsia="zh-CN"/>
              </w:rPr>
              <w:t>偏紧、加工费低迷、下游需求疲软，三重因素叠加使得公司锌冶炼业务出现较大亏损。</w:t>
            </w:r>
          </w:p>
          <w:p w14:paraId="648591C4">
            <w:pPr>
              <w:pStyle w:val="1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Chars="200" w:right="0" w:rightChars="0"/>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2、公司预计今年采取哪些措施改善经营业绩问题？</w:t>
            </w:r>
          </w:p>
          <w:p w14:paraId="2E225462">
            <w:pPr>
              <w:pStyle w:val="12"/>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firstLine="422" w:firstLineChars="175"/>
              <w:jc w:val="both"/>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答：</w:t>
            </w:r>
            <w:r>
              <w:rPr>
                <w:rFonts w:hint="default" w:ascii="宋体"/>
                <w:sz w:val="24"/>
                <w:lang w:val="en-US"/>
              </w:rPr>
              <w:t>公司将主要</w:t>
            </w:r>
            <w:r>
              <w:rPr>
                <w:rFonts w:hint="eastAsia"/>
                <w:sz w:val="24"/>
                <w:lang w:val="en-US" w:eastAsia="zh-CN"/>
              </w:rPr>
              <w:t>采取以下措施</w:t>
            </w:r>
            <w:r>
              <w:rPr>
                <w:rFonts w:hint="default" w:ascii="宋体"/>
                <w:sz w:val="24"/>
                <w:lang w:val="en-US"/>
              </w:rPr>
              <w:t>积极应对：</w:t>
            </w:r>
            <w:r>
              <w:rPr>
                <w:rFonts w:hint="eastAsia"/>
                <w:sz w:val="24"/>
                <w:lang w:val="en-US" w:eastAsia="zh-CN"/>
              </w:rPr>
              <w:t>一</w:t>
            </w:r>
            <w:r>
              <w:rPr>
                <w:rFonts w:hint="default" w:ascii="宋体"/>
                <w:sz w:val="24"/>
                <w:lang w:val="en-US"/>
              </w:rPr>
              <w:t>是优化产品结构，</w:t>
            </w:r>
            <w:r>
              <w:rPr>
                <w:rFonts w:hint="eastAsia"/>
                <w:sz w:val="24"/>
                <w:lang w:val="en-US" w:eastAsia="zh-CN"/>
              </w:rPr>
              <w:t>加强市场开拓，</w:t>
            </w:r>
            <w:r>
              <w:rPr>
                <w:rFonts w:hint="default" w:ascii="宋体"/>
                <w:sz w:val="24"/>
                <w:lang w:val="en-US"/>
              </w:rPr>
              <w:t>持续提升工业级磷酸一铵、特种肥料等高性能、高附加值产品比重，强化差异化竞争力</w:t>
            </w:r>
            <w:r>
              <w:rPr>
                <w:rFonts w:hint="eastAsia"/>
                <w:sz w:val="24"/>
                <w:lang w:val="en-US" w:eastAsia="zh-CN"/>
              </w:rPr>
              <w:t>，在巩固原有优势市场的同时积极拓展新的销售渠道</w:t>
            </w:r>
            <w:r>
              <w:rPr>
                <w:rFonts w:hint="default" w:ascii="宋体"/>
                <w:sz w:val="24"/>
                <w:lang w:val="en-US"/>
              </w:rPr>
              <w:t>；</w:t>
            </w:r>
            <w:r>
              <w:rPr>
                <w:rFonts w:hint="eastAsia"/>
                <w:sz w:val="24"/>
                <w:lang w:val="en-US" w:eastAsia="zh-CN"/>
              </w:rPr>
              <w:t>二</w:t>
            </w:r>
            <w:r>
              <w:rPr>
                <w:rFonts w:hint="default" w:ascii="宋体"/>
                <w:sz w:val="24"/>
                <w:lang w:val="en-US"/>
              </w:rPr>
              <w:t>是</w:t>
            </w:r>
            <w:r>
              <w:rPr>
                <w:rFonts w:hint="eastAsia"/>
                <w:sz w:val="24"/>
                <w:lang w:val="en-US" w:eastAsia="zh-CN"/>
              </w:rPr>
              <w:t>多措并举降本增效</w:t>
            </w:r>
            <w:r>
              <w:rPr>
                <w:rFonts w:hint="default" w:ascii="宋体"/>
                <w:sz w:val="24"/>
                <w:lang w:val="en-US"/>
              </w:rPr>
              <w:t>，通过供应链精细化管理、工艺升级</w:t>
            </w:r>
            <w:r>
              <w:rPr>
                <w:rFonts w:hint="eastAsia"/>
                <w:sz w:val="24"/>
                <w:lang w:val="en-US" w:eastAsia="zh-CN"/>
              </w:rPr>
              <w:t>、技术改造</w:t>
            </w:r>
            <w:r>
              <w:rPr>
                <w:rFonts w:hint="default" w:ascii="宋体"/>
                <w:sz w:val="24"/>
                <w:lang w:val="en-US"/>
              </w:rPr>
              <w:t>与资源梯级利用，有效控制生产成本</w:t>
            </w:r>
            <w:r>
              <w:rPr>
                <w:rFonts w:hint="eastAsia"/>
                <w:sz w:val="24"/>
                <w:lang w:val="en-US" w:eastAsia="zh-CN"/>
              </w:rPr>
              <w:t>，努力提高伴生金属回收率，</w:t>
            </w:r>
            <w:r>
              <w:rPr>
                <w:rFonts w:hint="default" w:ascii="宋体"/>
                <w:sz w:val="24"/>
                <w:lang w:val="en-US"/>
              </w:rPr>
              <w:t>增强市场抗风险能力；</w:t>
            </w:r>
            <w:r>
              <w:rPr>
                <w:rFonts w:hint="eastAsia"/>
                <w:sz w:val="24"/>
                <w:lang w:val="en-US" w:eastAsia="zh-CN"/>
              </w:rPr>
              <w:t>三</w:t>
            </w:r>
            <w:r>
              <w:rPr>
                <w:rFonts w:hint="default" w:ascii="宋体"/>
                <w:sz w:val="24"/>
                <w:lang w:val="en-US"/>
              </w:rPr>
              <w:t>是拓展产业协同，增强供应链韧性</w:t>
            </w:r>
            <w:r>
              <w:rPr>
                <w:rFonts w:hint="eastAsia"/>
                <w:sz w:val="24"/>
                <w:lang w:val="en-US" w:eastAsia="zh-CN"/>
              </w:rPr>
              <w:t>，</w:t>
            </w:r>
            <w:r>
              <w:rPr>
                <w:rFonts w:hint="default" w:ascii="宋体"/>
                <w:sz w:val="24"/>
                <w:lang w:val="en-US"/>
              </w:rPr>
              <w:t>加强与上游产业链的一体化合作，建立长期稳定的供应关系，有效抵御原材料价格波动的风险，</w:t>
            </w:r>
            <w:r>
              <w:rPr>
                <w:rFonts w:hint="eastAsia" w:cs="宋体" w:asciiTheme="minorEastAsia" w:hAnsiTheme="minorEastAsia"/>
                <w:color w:val="000000"/>
                <w:kern w:val="0"/>
                <w:sz w:val="24"/>
                <w:szCs w:val="24"/>
                <w:highlight w:val="none"/>
              </w:rPr>
              <w:t>加大</w:t>
            </w:r>
            <w:r>
              <w:rPr>
                <w:rFonts w:hint="eastAsia" w:cs="宋体" w:asciiTheme="minorEastAsia" w:hAnsiTheme="minorEastAsia"/>
                <w:color w:val="000000"/>
                <w:kern w:val="0"/>
                <w:sz w:val="24"/>
                <w:szCs w:val="24"/>
                <w:highlight w:val="none"/>
                <w:lang w:val="en-US" w:eastAsia="zh-CN"/>
              </w:rPr>
              <w:t>磷、</w:t>
            </w:r>
            <w:r>
              <w:rPr>
                <w:rFonts w:hint="eastAsia" w:cs="宋体" w:asciiTheme="minorEastAsia" w:hAnsiTheme="minorEastAsia"/>
                <w:color w:val="000000"/>
                <w:kern w:val="0"/>
                <w:sz w:val="24"/>
                <w:szCs w:val="24"/>
                <w:highlight w:val="none"/>
              </w:rPr>
              <w:t>铅锌</w:t>
            </w:r>
            <w:r>
              <w:rPr>
                <w:rFonts w:hint="eastAsia" w:cs="宋体" w:asciiTheme="minorEastAsia" w:hAnsiTheme="minorEastAsia"/>
                <w:color w:val="000000"/>
                <w:kern w:val="0"/>
                <w:sz w:val="24"/>
                <w:szCs w:val="24"/>
                <w:highlight w:val="none"/>
                <w:lang w:eastAsia="zh-CN"/>
              </w:rPr>
              <w:t>、</w:t>
            </w:r>
            <w:r>
              <w:rPr>
                <w:rFonts w:hint="eastAsia" w:cs="宋体" w:asciiTheme="minorEastAsia" w:hAnsiTheme="minorEastAsia"/>
                <w:color w:val="000000"/>
                <w:kern w:val="0"/>
                <w:sz w:val="24"/>
                <w:szCs w:val="24"/>
                <w:highlight w:val="none"/>
                <w:lang w:val="en-US" w:eastAsia="zh-CN"/>
              </w:rPr>
              <w:t>铜</w:t>
            </w:r>
            <w:r>
              <w:rPr>
                <w:rFonts w:hint="eastAsia" w:cs="宋体" w:asciiTheme="minorEastAsia" w:hAnsiTheme="minorEastAsia"/>
                <w:color w:val="000000"/>
                <w:kern w:val="0"/>
                <w:sz w:val="24"/>
                <w:szCs w:val="24"/>
                <w:highlight w:val="none"/>
              </w:rPr>
              <w:t>等优质矿产资源获取力度</w:t>
            </w:r>
            <w:r>
              <w:rPr>
                <w:rFonts w:hint="default" w:ascii="宋体"/>
                <w:sz w:val="24"/>
                <w:lang w:val="en-US"/>
              </w:rPr>
              <w:t>，持续夯实上游资源保障能力</w:t>
            </w:r>
            <w:r>
              <w:rPr>
                <w:rFonts w:hint="eastAsia"/>
                <w:sz w:val="24"/>
                <w:lang w:val="en-US" w:eastAsia="zh-CN"/>
              </w:rPr>
              <w:t>；</w:t>
            </w:r>
            <w:r>
              <w:rPr>
                <w:rFonts w:hint="default" w:ascii="宋体"/>
                <w:sz w:val="24"/>
                <w:lang w:val="en-US"/>
              </w:rPr>
              <w:t>同时，积极探索与下游新能源材料等领域的技术对接和战略协同。</w:t>
            </w:r>
            <w:r>
              <w:rPr>
                <w:rFonts w:hint="eastAsia"/>
                <w:sz w:val="24"/>
                <w:lang w:val="en-US" w:eastAsia="zh-CN"/>
              </w:rPr>
              <w:t>四</w:t>
            </w:r>
            <w:r>
              <w:rPr>
                <w:rFonts w:hint="default" w:ascii="宋体"/>
                <w:sz w:val="24"/>
                <w:lang w:val="en-US"/>
              </w:rPr>
              <w:t>是深化绿色技术研发，加强与科研机构合作，聚焦磷石膏资源化利用、节能降碳等关键领域攻关，以技术创新驱动环保合规与成本优化</w:t>
            </w:r>
            <w:r>
              <w:rPr>
                <w:rFonts w:hint="eastAsia" w:ascii="宋体"/>
                <w:sz w:val="24"/>
                <w:lang w:val="en-US" w:eastAsia="zh-CN"/>
              </w:rPr>
              <w:t>。</w:t>
            </w:r>
          </w:p>
          <w:p w14:paraId="6CB7E1F3">
            <w:pPr>
              <w:spacing w:line="360" w:lineRule="auto"/>
              <w:rPr>
                <w:rFonts w:hint="default" w:ascii="宋体"/>
                <w:b/>
                <w:bCs/>
                <w:sz w:val="24"/>
                <w:lang w:val="en-US" w:eastAsia="zh-CN"/>
              </w:rPr>
            </w:pPr>
            <w:r>
              <w:rPr>
                <w:rFonts w:hint="eastAsia" w:asciiTheme="minorEastAsia" w:hAnsiTheme="minorEastAsia" w:eastAsiaTheme="minorEastAsia" w:cstheme="minorEastAsia"/>
                <w:b/>
                <w:bCs/>
                <w:sz w:val="24"/>
                <w:szCs w:val="24"/>
                <w:lang w:val="en-US" w:eastAsia="zh-CN"/>
              </w:rPr>
              <w:t>3、公司关于多龙铜矿采矿权证的审批进度如何了？</w:t>
            </w:r>
          </w:p>
          <w:p w14:paraId="6114E1EC">
            <w:pPr>
              <w:spacing w:line="360" w:lineRule="auto"/>
              <w:ind w:firstLine="480" w:firstLineChars="200"/>
              <w:rPr>
                <w:rFonts w:hint="default" w:ascii="宋体"/>
                <w:b w:val="0"/>
                <w:bCs w:val="0"/>
                <w:sz w:val="24"/>
                <w:lang w:val="en-US"/>
              </w:rPr>
            </w:pPr>
            <w:r>
              <w:rPr>
                <w:rFonts w:hint="eastAsia" w:ascii="宋体" w:hAnsi="宋体" w:eastAsia="宋体" w:cs="宋体"/>
                <w:b w:val="0"/>
                <w:bCs w:val="0"/>
                <w:color w:val="000000"/>
                <w:sz w:val="24"/>
                <w:szCs w:val="24"/>
                <w:lang w:val="en-US" w:eastAsia="zh-CN"/>
              </w:rPr>
              <w:t>答：</w:t>
            </w:r>
            <w:r>
              <w:rPr>
                <w:rFonts w:hint="eastAsia" w:cs="宋体"/>
                <w:b w:val="0"/>
                <w:bCs w:val="0"/>
                <w:color w:val="000000"/>
                <w:sz w:val="24"/>
                <w:szCs w:val="24"/>
                <w:lang w:val="en-US" w:eastAsia="zh-CN"/>
              </w:rPr>
              <w:t>目前多龙公司正在全力推进采矿权的申请与办理，多龙公司及其股东方与自治区及属地各级主管部门持续保持高效沟通，正常推进各项证照办理工作，力争尽快取得采矿权证。</w:t>
            </w:r>
          </w:p>
          <w:p w14:paraId="53607C4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eastAsia" w:ascii="宋体" w:hAnsi="宋体" w:eastAsia="宋体" w:cs="宋体"/>
                <w:b/>
                <w:bCs/>
                <w:kern w:val="0"/>
                <w:sz w:val="24"/>
                <w:szCs w:val="21"/>
                <w:lang w:val="en-US" w:eastAsia="zh-CN" w:bidi="zh-CN"/>
              </w:rPr>
            </w:pPr>
            <w:r>
              <w:rPr>
                <w:rFonts w:hint="eastAsia" w:cs="宋体"/>
                <w:b/>
                <w:bCs/>
                <w:kern w:val="0"/>
                <w:sz w:val="24"/>
                <w:szCs w:val="21"/>
                <w:lang w:val="en-US" w:eastAsia="zh-CN" w:bidi="zh-CN"/>
              </w:rPr>
              <w:t>4、公司控股股东所持磷矿资源整合进度</w:t>
            </w:r>
            <w:r>
              <w:rPr>
                <w:rFonts w:hint="default" w:ascii="宋体" w:hAnsi="宋体" w:eastAsia="宋体" w:cs="宋体"/>
                <w:b/>
                <w:bCs/>
                <w:kern w:val="0"/>
                <w:sz w:val="24"/>
                <w:szCs w:val="21"/>
                <w:lang w:val="en-US" w:eastAsia="zh-CN" w:bidi="zh-CN"/>
              </w:rPr>
              <w:t>如何？</w:t>
            </w:r>
          </w:p>
          <w:p w14:paraId="6E347FF3">
            <w:pPr>
              <w:pStyle w:val="2"/>
              <w:spacing w:line="360" w:lineRule="auto"/>
              <w:ind w:left="0" w:leftChars="0" w:firstLine="422" w:firstLineChars="175"/>
              <w:rPr>
                <w:rFonts w:hint="default"/>
                <w:lang w:val="en-US" w:eastAsia="zh-CN"/>
              </w:rPr>
            </w:pPr>
            <w:r>
              <w:rPr>
                <w:rFonts w:hint="default" w:ascii="宋体"/>
                <w:b/>
                <w:bCs/>
                <w:sz w:val="24"/>
                <w:lang w:val="en-US"/>
              </w:rPr>
              <w:t>答</w:t>
            </w:r>
            <w:r>
              <w:rPr>
                <w:rFonts w:hint="eastAsia"/>
                <w:b/>
                <w:bCs/>
                <w:sz w:val="24"/>
                <w:lang w:val="en-US" w:eastAsia="zh-CN"/>
              </w:rPr>
              <w:t>：</w:t>
            </w:r>
            <w:r>
              <w:rPr>
                <w:rFonts w:hint="eastAsia" w:ascii="宋体" w:hAnsi="宋体" w:eastAsia="宋体" w:cs="宋体"/>
                <w:color w:val="000000"/>
                <w:sz w:val="24"/>
                <w:szCs w:val="24"/>
              </w:rPr>
              <w:t>控股股东下属公司磷化工业务与宏达股份存在同业竞争的问题，控股股东已明确承诺将限期解决，目前各方正在积极推进，实际进展和结果</w:t>
            </w:r>
            <w:r>
              <w:rPr>
                <w:rFonts w:hint="eastAsia" w:cs="宋体"/>
                <w:color w:val="000000"/>
                <w:sz w:val="24"/>
                <w:szCs w:val="24"/>
                <w:lang w:val="en-US" w:eastAsia="zh-CN"/>
              </w:rPr>
              <w:t>以公司在指定媒体披露的公告信息为准</w:t>
            </w:r>
            <w:r>
              <w:rPr>
                <w:rFonts w:hint="eastAsia" w:ascii="宋体" w:hAnsi="宋体" w:eastAsia="宋体" w:cs="宋体"/>
                <w:color w:val="000000"/>
                <w:sz w:val="24"/>
                <w:szCs w:val="24"/>
              </w:rPr>
              <w:t>。</w:t>
            </w:r>
          </w:p>
        </w:tc>
      </w:tr>
      <w:tr w14:paraId="333DD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580" w:type="dxa"/>
            <w:vAlign w:val="center"/>
          </w:tcPr>
          <w:p w14:paraId="0ACECC76">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附件清单（如有）</w:t>
            </w:r>
          </w:p>
        </w:tc>
        <w:tc>
          <w:tcPr>
            <w:tcW w:w="5945" w:type="dxa"/>
            <w:vAlign w:val="center"/>
          </w:tcPr>
          <w:p w14:paraId="2CF6EA8D">
            <w:pPr>
              <w:pStyle w:val="17"/>
              <w:ind w:firstLine="0" w:firstLineChars="0"/>
              <w:rPr>
                <w:rFonts w:hint="eastAsia" w:ascii="宋体" w:hAnsi="宋体" w:eastAsia="宋体" w:cs="宋体"/>
                <w:sz w:val="24"/>
                <w:szCs w:val="24"/>
              </w:rPr>
            </w:pPr>
            <w:r>
              <w:rPr>
                <w:rFonts w:hint="eastAsia" w:ascii="宋体" w:hAnsi="宋体" w:eastAsia="宋体" w:cs="宋体"/>
                <w:sz w:val="24"/>
                <w:szCs w:val="24"/>
              </w:rPr>
              <w:t>无</w:t>
            </w:r>
          </w:p>
        </w:tc>
      </w:tr>
      <w:tr w14:paraId="7EFE5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2580" w:type="dxa"/>
            <w:vAlign w:val="center"/>
          </w:tcPr>
          <w:p w14:paraId="6FC472B6">
            <w:pPr>
              <w:pStyle w:val="17"/>
              <w:ind w:firstLine="0" w:firstLineChars="0"/>
              <w:jc w:val="center"/>
              <w:rPr>
                <w:rFonts w:hint="eastAsia" w:ascii="宋体" w:hAnsi="宋体" w:eastAsia="宋体" w:cs="宋体"/>
                <w:sz w:val="24"/>
                <w:szCs w:val="24"/>
              </w:rPr>
            </w:pPr>
            <w:r>
              <w:rPr>
                <w:rFonts w:hint="eastAsia" w:ascii="宋体" w:hAnsi="宋体" w:eastAsia="宋体" w:cs="宋体"/>
                <w:sz w:val="24"/>
                <w:szCs w:val="24"/>
              </w:rPr>
              <w:t>日期</w:t>
            </w:r>
          </w:p>
        </w:tc>
        <w:tc>
          <w:tcPr>
            <w:tcW w:w="5945" w:type="dxa"/>
            <w:vAlign w:val="center"/>
          </w:tcPr>
          <w:p w14:paraId="703D974D">
            <w:pPr>
              <w:pStyle w:val="17"/>
              <w:ind w:firstLine="0" w:firstLineChars="0"/>
              <w:rPr>
                <w:rFonts w:hint="default" w:ascii="宋体" w:hAnsi="宋体" w:eastAsia="宋体" w:cs="宋体"/>
                <w:sz w:val="24"/>
                <w:szCs w:val="24"/>
                <w:lang w:val="en-US"/>
              </w:rPr>
            </w:pPr>
            <w:r>
              <w:rPr>
                <w:rFonts w:hint="eastAsia" w:ascii="宋体" w:hAnsi="宋体" w:eastAsia="宋体" w:cs="宋体"/>
                <w:sz w:val="24"/>
                <w:szCs w:val="24"/>
              </w:rPr>
              <w:t>202</w:t>
            </w:r>
            <w:r>
              <w:rPr>
                <w:rFonts w:hint="eastAsia" w:cs="宋体"/>
                <w:sz w:val="24"/>
                <w:szCs w:val="24"/>
                <w:lang w:val="en-US" w:eastAsia="zh-CN"/>
              </w:rPr>
              <w:t>6</w:t>
            </w:r>
            <w:r>
              <w:rPr>
                <w:rFonts w:hint="eastAsia" w:ascii="宋体" w:hAnsi="宋体" w:eastAsia="宋体" w:cs="宋体"/>
                <w:sz w:val="24"/>
                <w:szCs w:val="24"/>
              </w:rPr>
              <w:t>年</w:t>
            </w:r>
            <w:r>
              <w:rPr>
                <w:rFonts w:hint="eastAsia" w:cs="宋体"/>
                <w:sz w:val="24"/>
                <w:szCs w:val="24"/>
                <w:lang w:val="en-US" w:eastAsia="zh-CN"/>
              </w:rPr>
              <w:t>4</w:t>
            </w:r>
            <w:r>
              <w:rPr>
                <w:rFonts w:hint="eastAsia" w:ascii="宋体" w:hAnsi="宋体" w:eastAsia="宋体" w:cs="宋体"/>
                <w:sz w:val="24"/>
                <w:szCs w:val="24"/>
                <w:lang w:val="en-US" w:eastAsia="zh-CN"/>
              </w:rPr>
              <w:t>月</w:t>
            </w:r>
            <w:r>
              <w:rPr>
                <w:rFonts w:hint="eastAsia" w:cs="宋体"/>
                <w:sz w:val="24"/>
                <w:szCs w:val="24"/>
                <w:lang w:val="en-US" w:eastAsia="zh-CN"/>
              </w:rPr>
              <w:t>8日—4月22</w:t>
            </w:r>
            <w:bookmarkStart w:id="0" w:name="_GoBack"/>
            <w:bookmarkEnd w:id="0"/>
            <w:r>
              <w:rPr>
                <w:rFonts w:hint="eastAsia" w:cs="宋体"/>
                <w:sz w:val="24"/>
                <w:szCs w:val="24"/>
                <w:lang w:val="en-US" w:eastAsia="zh-CN"/>
              </w:rPr>
              <w:t>日</w:t>
            </w:r>
          </w:p>
        </w:tc>
      </w:tr>
    </w:tbl>
    <w:p w14:paraId="6FBDB961">
      <w:pPr>
        <w:ind w:left="0" w:leftChars="0" w:firstLine="0" w:firstLineChars="0"/>
      </w:pPr>
    </w:p>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16F7C">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EC9CA">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EF2DD">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66A8">
    <w:pPr>
      <w:pStyle w:val="11"/>
      <w:keepNext w:val="0"/>
      <w:keepLines w:val="0"/>
      <w:pageBreakBefore w:val="0"/>
      <w:widowControl w:val="0"/>
      <w:tabs>
        <w:tab w:val="clear" w:pos="4153"/>
      </w:tabs>
      <w:kinsoku/>
      <w:wordWrap/>
      <w:overflowPunct/>
      <w:topLinePunct w:val="0"/>
      <w:bidi w:val="0"/>
      <w:adjustRightInd/>
      <w:snapToGrid w:val="0"/>
      <w:spacing w:line="240" w:lineRule="auto"/>
      <w:jc w:val="right"/>
      <w:textAlignment w:val="auto"/>
    </w:pPr>
    <w:r>
      <w:rPr>
        <w:rFonts w:hint="eastAsia"/>
      </w:rPr>
      <w:t>四川宏达股份有限公司投资者关系活动记录表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F390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062A">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mMjljM2YxNWFkMTIyYTg0MGM5M2Y3YzhlM2RmMzYifQ=="/>
  </w:docVars>
  <w:rsids>
    <w:rsidRoot w:val="00301D32"/>
    <w:rsid w:val="00026CC3"/>
    <w:rsid w:val="00036089"/>
    <w:rsid w:val="00053CFA"/>
    <w:rsid w:val="000633EC"/>
    <w:rsid w:val="00063804"/>
    <w:rsid w:val="000665A2"/>
    <w:rsid w:val="00085115"/>
    <w:rsid w:val="000877AB"/>
    <w:rsid w:val="000B7C08"/>
    <w:rsid w:val="000D12CF"/>
    <w:rsid w:val="000D2D88"/>
    <w:rsid w:val="000E4B20"/>
    <w:rsid w:val="0011418F"/>
    <w:rsid w:val="0013655A"/>
    <w:rsid w:val="00172C24"/>
    <w:rsid w:val="00184270"/>
    <w:rsid w:val="001E59D1"/>
    <w:rsid w:val="001E5EA4"/>
    <w:rsid w:val="002042A7"/>
    <w:rsid w:val="00205911"/>
    <w:rsid w:val="002146AD"/>
    <w:rsid w:val="00275CB6"/>
    <w:rsid w:val="002800B5"/>
    <w:rsid w:val="00295252"/>
    <w:rsid w:val="00295B29"/>
    <w:rsid w:val="002C1427"/>
    <w:rsid w:val="002D4073"/>
    <w:rsid w:val="002E0C4E"/>
    <w:rsid w:val="002E7098"/>
    <w:rsid w:val="002F68F6"/>
    <w:rsid w:val="00301D32"/>
    <w:rsid w:val="00331C5A"/>
    <w:rsid w:val="00366FAD"/>
    <w:rsid w:val="00367B01"/>
    <w:rsid w:val="0037105B"/>
    <w:rsid w:val="003975BA"/>
    <w:rsid w:val="003A74E6"/>
    <w:rsid w:val="003B4AFF"/>
    <w:rsid w:val="003B73DD"/>
    <w:rsid w:val="003C3454"/>
    <w:rsid w:val="003D011C"/>
    <w:rsid w:val="004108C7"/>
    <w:rsid w:val="00412DC2"/>
    <w:rsid w:val="00440041"/>
    <w:rsid w:val="0044706E"/>
    <w:rsid w:val="00451268"/>
    <w:rsid w:val="004515AD"/>
    <w:rsid w:val="00451857"/>
    <w:rsid w:val="00453516"/>
    <w:rsid w:val="00457548"/>
    <w:rsid w:val="00470DB2"/>
    <w:rsid w:val="00471638"/>
    <w:rsid w:val="004925E7"/>
    <w:rsid w:val="00495B11"/>
    <w:rsid w:val="004F6FF3"/>
    <w:rsid w:val="00523124"/>
    <w:rsid w:val="00534833"/>
    <w:rsid w:val="0053646D"/>
    <w:rsid w:val="00571B49"/>
    <w:rsid w:val="005743AE"/>
    <w:rsid w:val="0059577A"/>
    <w:rsid w:val="005C2456"/>
    <w:rsid w:val="005C2D95"/>
    <w:rsid w:val="005D64CA"/>
    <w:rsid w:val="005E5717"/>
    <w:rsid w:val="005E6DB2"/>
    <w:rsid w:val="00612C89"/>
    <w:rsid w:val="0061433E"/>
    <w:rsid w:val="00622819"/>
    <w:rsid w:val="0062751D"/>
    <w:rsid w:val="00634F97"/>
    <w:rsid w:val="006354AA"/>
    <w:rsid w:val="00657CFF"/>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54510"/>
    <w:rsid w:val="00763586"/>
    <w:rsid w:val="00764128"/>
    <w:rsid w:val="007824B8"/>
    <w:rsid w:val="007910DD"/>
    <w:rsid w:val="007A3EC1"/>
    <w:rsid w:val="007B3368"/>
    <w:rsid w:val="007D0A69"/>
    <w:rsid w:val="007D4281"/>
    <w:rsid w:val="007D6DC4"/>
    <w:rsid w:val="007E57D0"/>
    <w:rsid w:val="007F67F6"/>
    <w:rsid w:val="00824FE6"/>
    <w:rsid w:val="00853463"/>
    <w:rsid w:val="00893F25"/>
    <w:rsid w:val="00895035"/>
    <w:rsid w:val="008A0AEA"/>
    <w:rsid w:val="008B2B14"/>
    <w:rsid w:val="008C6AED"/>
    <w:rsid w:val="008C7604"/>
    <w:rsid w:val="008E1B27"/>
    <w:rsid w:val="008E6192"/>
    <w:rsid w:val="00903379"/>
    <w:rsid w:val="00906975"/>
    <w:rsid w:val="00907D1B"/>
    <w:rsid w:val="00917F0B"/>
    <w:rsid w:val="00917F8B"/>
    <w:rsid w:val="00935B08"/>
    <w:rsid w:val="00960964"/>
    <w:rsid w:val="00965E4D"/>
    <w:rsid w:val="00973294"/>
    <w:rsid w:val="009B1D5C"/>
    <w:rsid w:val="009C2E31"/>
    <w:rsid w:val="009E1955"/>
    <w:rsid w:val="00A527AA"/>
    <w:rsid w:val="00A5684D"/>
    <w:rsid w:val="00A75C61"/>
    <w:rsid w:val="00A905A0"/>
    <w:rsid w:val="00A9601B"/>
    <w:rsid w:val="00AD100E"/>
    <w:rsid w:val="00AE1E36"/>
    <w:rsid w:val="00AF74AA"/>
    <w:rsid w:val="00B03C2F"/>
    <w:rsid w:val="00B15064"/>
    <w:rsid w:val="00B23549"/>
    <w:rsid w:val="00B340A3"/>
    <w:rsid w:val="00B410F5"/>
    <w:rsid w:val="00B6280C"/>
    <w:rsid w:val="00B671A4"/>
    <w:rsid w:val="00B72CD4"/>
    <w:rsid w:val="00B85B00"/>
    <w:rsid w:val="00BC0095"/>
    <w:rsid w:val="00BF132F"/>
    <w:rsid w:val="00C13878"/>
    <w:rsid w:val="00C22EC5"/>
    <w:rsid w:val="00C46FA3"/>
    <w:rsid w:val="00CA1705"/>
    <w:rsid w:val="00CE1A54"/>
    <w:rsid w:val="00CF5FB6"/>
    <w:rsid w:val="00D02518"/>
    <w:rsid w:val="00D17454"/>
    <w:rsid w:val="00D33FBC"/>
    <w:rsid w:val="00D561AF"/>
    <w:rsid w:val="00D66227"/>
    <w:rsid w:val="00D7535C"/>
    <w:rsid w:val="00D76302"/>
    <w:rsid w:val="00DA5CE2"/>
    <w:rsid w:val="00DE10E8"/>
    <w:rsid w:val="00E16FDA"/>
    <w:rsid w:val="00E35F58"/>
    <w:rsid w:val="00E45BD9"/>
    <w:rsid w:val="00E66FFC"/>
    <w:rsid w:val="00E759D6"/>
    <w:rsid w:val="00E84A8C"/>
    <w:rsid w:val="00E852FE"/>
    <w:rsid w:val="00E976DE"/>
    <w:rsid w:val="00EB226D"/>
    <w:rsid w:val="00EC0F83"/>
    <w:rsid w:val="00ED69ED"/>
    <w:rsid w:val="00EE3187"/>
    <w:rsid w:val="00EE6195"/>
    <w:rsid w:val="00EF499B"/>
    <w:rsid w:val="00F10A58"/>
    <w:rsid w:val="00F1489C"/>
    <w:rsid w:val="00F14977"/>
    <w:rsid w:val="00F51176"/>
    <w:rsid w:val="00F61984"/>
    <w:rsid w:val="00FA178F"/>
    <w:rsid w:val="00FB4A08"/>
    <w:rsid w:val="00FC0C2A"/>
    <w:rsid w:val="00FD7F8E"/>
    <w:rsid w:val="00FF11E4"/>
    <w:rsid w:val="022F1DCE"/>
    <w:rsid w:val="02613E02"/>
    <w:rsid w:val="038A1AFE"/>
    <w:rsid w:val="04B072D4"/>
    <w:rsid w:val="05F575D4"/>
    <w:rsid w:val="064249C6"/>
    <w:rsid w:val="08641132"/>
    <w:rsid w:val="09186774"/>
    <w:rsid w:val="0945438F"/>
    <w:rsid w:val="0A71587A"/>
    <w:rsid w:val="0B44735E"/>
    <w:rsid w:val="0B792C38"/>
    <w:rsid w:val="0B79748A"/>
    <w:rsid w:val="0BF00A21"/>
    <w:rsid w:val="0C28640C"/>
    <w:rsid w:val="0E90599A"/>
    <w:rsid w:val="0EAC3357"/>
    <w:rsid w:val="0ED720CD"/>
    <w:rsid w:val="103915BC"/>
    <w:rsid w:val="11281521"/>
    <w:rsid w:val="11B25FF5"/>
    <w:rsid w:val="12003516"/>
    <w:rsid w:val="12070CAE"/>
    <w:rsid w:val="120D4FD7"/>
    <w:rsid w:val="13C23177"/>
    <w:rsid w:val="145F688C"/>
    <w:rsid w:val="15DD2205"/>
    <w:rsid w:val="162E461F"/>
    <w:rsid w:val="16B54D41"/>
    <w:rsid w:val="17A67110"/>
    <w:rsid w:val="183277C9"/>
    <w:rsid w:val="185A699B"/>
    <w:rsid w:val="1864189B"/>
    <w:rsid w:val="18D73A7D"/>
    <w:rsid w:val="193335FB"/>
    <w:rsid w:val="1942782A"/>
    <w:rsid w:val="19557370"/>
    <w:rsid w:val="199B03CB"/>
    <w:rsid w:val="19A54BF8"/>
    <w:rsid w:val="1B1C1F38"/>
    <w:rsid w:val="1B8016FF"/>
    <w:rsid w:val="1BD06B6A"/>
    <w:rsid w:val="1D0F2D38"/>
    <w:rsid w:val="1F782BDE"/>
    <w:rsid w:val="201C3CE6"/>
    <w:rsid w:val="21FC7CC7"/>
    <w:rsid w:val="225B679C"/>
    <w:rsid w:val="22B22083"/>
    <w:rsid w:val="23317869"/>
    <w:rsid w:val="23EB3B50"/>
    <w:rsid w:val="25650CAE"/>
    <w:rsid w:val="26406598"/>
    <w:rsid w:val="28080056"/>
    <w:rsid w:val="28734C1A"/>
    <w:rsid w:val="28C72DDD"/>
    <w:rsid w:val="29E37DED"/>
    <w:rsid w:val="29EE0E64"/>
    <w:rsid w:val="2A047489"/>
    <w:rsid w:val="2B2F07C6"/>
    <w:rsid w:val="2ED53F01"/>
    <w:rsid w:val="2EF90F16"/>
    <w:rsid w:val="2F125C63"/>
    <w:rsid w:val="2F286F4A"/>
    <w:rsid w:val="2F7214C1"/>
    <w:rsid w:val="302C3D0A"/>
    <w:rsid w:val="303B78D5"/>
    <w:rsid w:val="30480C0C"/>
    <w:rsid w:val="309B292D"/>
    <w:rsid w:val="328238D1"/>
    <w:rsid w:val="338B0FF4"/>
    <w:rsid w:val="33DE31BB"/>
    <w:rsid w:val="34EE5346"/>
    <w:rsid w:val="37C8447C"/>
    <w:rsid w:val="389C49C0"/>
    <w:rsid w:val="398521C2"/>
    <w:rsid w:val="39BC78F4"/>
    <w:rsid w:val="3B5B5607"/>
    <w:rsid w:val="3C373E57"/>
    <w:rsid w:val="3D0B37AA"/>
    <w:rsid w:val="3EF1250A"/>
    <w:rsid w:val="400D4298"/>
    <w:rsid w:val="40567DB0"/>
    <w:rsid w:val="40FF5CD2"/>
    <w:rsid w:val="41566D3D"/>
    <w:rsid w:val="41AC096A"/>
    <w:rsid w:val="42C13ADC"/>
    <w:rsid w:val="42DB40B0"/>
    <w:rsid w:val="4360359D"/>
    <w:rsid w:val="43B71B0A"/>
    <w:rsid w:val="43D4579E"/>
    <w:rsid w:val="44FA0589"/>
    <w:rsid w:val="450B59A8"/>
    <w:rsid w:val="45A663E3"/>
    <w:rsid w:val="469F09AF"/>
    <w:rsid w:val="47B02837"/>
    <w:rsid w:val="48EC6835"/>
    <w:rsid w:val="4B090BDC"/>
    <w:rsid w:val="4B756271"/>
    <w:rsid w:val="4C115F9A"/>
    <w:rsid w:val="4C8E1CA8"/>
    <w:rsid w:val="4CC64536"/>
    <w:rsid w:val="4D6D36A4"/>
    <w:rsid w:val="510903EF"/>
    <w:rsid w:val="53F137F4"/>
    <w:rsid w:val="543A6906"/>
    <w:rsid w:val="54666AD6"/>
    <w:rsid w:val="55684751"/>
    <w:rsid w:val="55C82D1D"/>
    <w:rsid w:val="56850CBB"/>
    <w:rsid w:val="58245F73"/>
    <w:rsid w:val="59344863"/>
    <w:rsid w:val="599838DC"/>
    <w:rsid w:val="5A666D76"/>
    <w:rsid w:val="5A8B3991"/>
    <w:rsid w:val="5B2253C2"/>
    <w:rsid w:val="5C7D1B60"/>
    <w:rsid w:val="5DEA31F3"/>
    <w:rsid w:val="5F4B660F"/>
    <w:rsid w:val="603269D2"/>
    <w:rsid w:val="61A52BCA"/>
    <w:rsid w:val="622B19D2"/>
    <w:rsid w:val="62AF734F"/>
    <w:rsid w:val="63912D7C"/>
    <w:rsid w:val="65451FAE"/>
    <w:rsid w:val="67095496"/>
    <w:rsid w:val="67ED7463"/>
    <w:rsid w:val="681A546A"/>
    <w:rsid w:val="68CA77A4"/>
    <w:rsid w:val="69CB37D4"/>
    <w:rsid w:val="6A0D5B9B"/>
    <w:rsid w:val="6A3B23B1"/>
    <w:rsid w:val="6AEA32DC"/>
    <w:rsid w:val="6AF1022D"/>
    <w:rsid w:val="6B160A7F"/>
    <w:rsid w:val="6CC24AB5"/>
    <w:rsid w:val="6D9271B2"/>
    <w:rsid w:val="6DF51914"/>
    <w:rsid w:val="6EE64C0C"/>
    <w:rsid w:val="6F134790"/>
    <w:rsid w:val="6F904395"/>
    <w:rsid w:val="71584812"/>
    <w:rsid w:val="72446028"/>
    <w:rsid w:val="72A20E4A"/>
    <w:rsid w:val="72FC56B6"/>
    <w:rsid w:val="73076EC0"/>
    <w:rsid w:val="73BA34EB"/>
    <w:rsid w:val="74210CA6"/>
    <w:rsid w:val="745D771F"/>
    <w:rsid w:val="748F0F7B"/>
    <w:rsid w:val="788C25F5"/>
    <w:rsid w:val="78980A7F"/>
    <w:rsid w:val="78F62113"/>
    <w:rsid w:val="79F72AA9"/>
    <w:rsid w:val="7B244CBD"/>
    <w:rsid w:val="7C6F61E8"/>
    <w:rsid w:val="7CC1176C"/>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ind w:firstLine="420" w:firstLineChars="200"/>
    </w:pPr>
    <w:rPr>
      <w:rFonts w:ascii="宋体" w:hAnsi="宋体" w:eastAsia="宋体" w:cs="宋体"/>
      <w:sz w:val="21"/>
      <w:szCs w:val="21"/>
      <w:lang w:val="zh-CN" w:eastAsia="zh-CN" w:bidi="zh-CN"/>
    </w:rPr>
  </w:style>
  <w:style w:type="paragraph" w:styleId="7">
    <w:name w:val="heading 1"/>
    <w:basedOn w:val="1"/>
    <w:next w:val="1"/>
    <w:qFormat/>
    <w:uiPriority w:val="1"/>
    <w:pPr>
      <w:outlineLvl w:val="0"/>
    </w:pPr>
    <w:rPr>
      <w:rFonts w:ascii="PMingLiU" w:hAnsi="PMingLiU" w:eastAsia="PMingLiU" w:cs="PMingLiU"/>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正文文字 6"/>
    <w:next w:val="1"/>
    <w:qFormat/>
    <w:uiPriority w:val="0"/>
    <w:pPr>
      <w:widowControl w:val="0"/>
      <w:ind w:left="240"/>
      <w:jc w:val="both"/>
    </w:pPr>
    <w:rPr>
      <w:rFonts w:ascii="宋体" w:hAnsi="等线" w:eastAsia="等线" w:cs="Times New Roman"/>
      <w:b/>
      <w:bCs/>
      <w:kern w:val="2"/>
      <w:sz w:val="32"/>
      <w:szCs w:val="32"/>
      <w:lang w:val="en-US" w:eastAsia="zh-CN" w:bidi="ar-SA"/>
    </w:rPr>
  </w:style>
  <w:style w:type="paragraph" w:styleId="5">
    <w:name w:val="Body Text"/>
    <w:basedOn w:val="1"/>
    <w:next w:val="6"/>
    <w:qFormat/>
    <w:uiPriority w:val="1"/>
    <w:pPr>
      <w:ind w:left="220"/>
    </w:pPr>
    <w:rPr>
      <w:sz w:val="32"/>
      <w:szCs w:val="32"/>
    </w:rPr>
  </w:style>
  <w:style w:type="paragraph" w:styleId="6">
    <w:name w:val="Normal Indent"/>
    <w:basedOn w:val="1"/>
    <w:unhideWhenUsed/>
    <w:qFormat/>
    <w:uiPriority w:val="99"/>
    <w:pPr>
      <w:spacing w:line="560" w:lineRule="exact"/>
      <w:ind w:firstLine="420" w:firstLineChars="200"/>
    </w:pPr>
    <w:rPr>
      <w:rFonts w:ascii="等线" w:eastAsia="等线"/>
      <w:sz w:val="32"/>
    </w:rPr>
  </w:style>
  <w:style w:type="paragraph" w:styleId="8">
    <w:name w:val="annotation text"/>
    <w:basedOn w:val="1"/>
    <w:link w:val="20"/>
    <w:qFormat/>
    <w:uiPriority w:val="0"/>
  </w:style>
  <w:style w:type="paragraph" w:styleId="9">
    <w:name w:val="Balloon Text"/>
    <w:basedOn w:val="1"/>
    <w:link w:val="22"/>
    <w:qFormat/>
    <w:uiPriority w:val="0"/>
    <w:rPr>
      <w:sz w:val="18"/>
      <w:szCs w:val="18"/>
    </w:rPr>
  </w:style>
  <w:style w:type="paragraph" w:styleId="10">
    <w:name w:val="footer"/>
    <w:basedOn w:val="1"/>
    <w:link w:val="19"/>
    <w:qFormat/>
    <w:uiPriority w:val="0"/>
    <w:pPr>
      <w:tabs>
        <w:tab w:val="center" w:pos="4153"/>
        <w:tab w:val="right" w:pos="8306"/>
      </w:tabs>
      <w:snapToGrid w:val="0"/>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8"/>
    <w:next w:val="8"/>
    <w:link w:val="21"/>
    <w:qFormat/>
    <w:uiPriority w:val="0"/>
    <w:rPr>
      <w:b/>
      <w:bCs/>
    </w:rPr>
  </w:style>
  <w:style w:type="character" w:styleId="16">
    <w:name w:val="annotation reference"/>
    <w:basedOn w:val="15"/>
    <w:qFormat/>
    <w:uiPriority w:val="0"/>
    <w:rPr>
      <w:sz w:val="21"/>
      <w:szCs w:val="21"/>
    </w:rPr>
  </w:style>
  <w:style w:type="paragraph" w:customStyle="1" w:styleId="17">
    <w:name w:val="Table Paragraph"/>
    <w:basedOn w:val="1"/>
    <w:qFormat/>
    <w:uiPriority w:val="1"/>
  </w:style>
  <w:style w:type="character" w:customStyle="1" w:styleId="18">
    <w:name w:val="页眉 字符"/>
    <w:basedOn w:val="15"/>
    <w:link w:val="11"/>
    <w:qFormat/>
    <w:uiPriority w:val="0"/>
    <w:rPr>
      <w:rFonts w:ascii="仿宋" w:hAnsi="仿宋" w:eastAsia="仿宋" w:cs="仿宋"/>
      <w:sz w:val="18"/>
      <w:szCs w:val="18"/>
      <w:lang w:val="zh-CN" w:bidi="zh-CN"/>
    </w:rPr>
  </w:style>
  <w:style w:type="character" w:customStyle="1" w:styleId="19">
    <w:name w:val="页脚 字符"/>
    <w:basedOn w:val="15"/>
    <w:link w:val="10"/>
    <w:qFormat/>
    <w:uiPriority w:val="0"/>
    <w:rPr>
      <w:rFonts w:ascii="仿宋" w:hAnsi="仿宋" w:eastAsia="仿宋" w:cs="仿宋"/>
      <w:sz w:val="18"/>
      <w:szCs w:val="18"/>
      <w:lang w:val="zh-CN" w:bidi="zh-CN"/>
    </w:rPr>
  </w:style>
  <w:style w:type="character" w:customStyle="1" w:styleId="20">
    <w:name w:val="批注文字 字符"/>
    <w:basedOn w:val="15"/>
    <w:link w:val="8"/>
    <w:qFormat/>
    <w:uiPriority w:val="0"/>
    <w:rPr>
      <w:rFonts w:ascii="仿宋" w:hAnsi="仿宋" w:eastAsia="仿宋" w:cs="仿宋"/>
      <w:sz w:val="22"/>
      <w:szCs w:val="22"/>
      <w:lang w:val="zh-CN" w:bidi="zh-CN"/>
    </w:rPr>
  </w:style>
  <w:style w:type="character" w:customStyle="1" w:styleId="21">
    <w:name w:val="批注主题 字符"/>
    <w:basedOn w:val="20"/>
    <w:link w:val="13"/>
    <w:qFormat/>
    <w:uiPriority w:val="0"/>
    <w:rPr>
      <w:rFonts w:ascii="仿宋" w:hAnsi="仿宋" w:eastAsia="仿宋" w:cs="仿宋"/>
      <w:b/>
      <w:bCs/>
      <w:sz w:val="22"/>
      <w:szCs w:val="22"/>
      <w:lang w:val="zh-CN" w:bidi="zh-CN"/>
    </w:rPr>
  </w:style>
  <w:style w:type="character" w:customStyle="1" w:styleId="22">
    <w:name w:val="批注框文本 字符"/>
    <w:basedOn w:val="15"/>
    <w:link w:val="9"/>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1071</Words>
  <Characters>1100</Characters>
  <Lines>33</Lines>
  <Paragraphs>9</Paragraphs>
  <TotalTime>11</TotalTime>
  <ScaleCrop>false</ScaleCrop>
  <LinksUpToDate>false</LinksUpToDate>
  <CharactersWithSpaces>1160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2024-10-18T09:01:00Z</dcterms:created>
  <dc:creator>jie.huang</dc:creator>
  <cp:lastModifiedBy>刘爽</cp:lastModifiedBy>
  <cp:lastPrinted>2025-06-06T07:53:00Z</cp:lastPrinted>
  <dcterms:modified xsi:type="dcterms:W3CDTF">2026-04-22T08:48:44Z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FAEB7A432B814D0EBBA7193D0E995AF4_13</vt:lpwstr>
  </property>
  <property fmtid="{D5CDD505-2E9C-101B-9397-08002B2CF9AE}" pid="4" name="KSOTemplateDocerSaveRecord">
    <vt:lpwstr>eyJoZGlkIjoiZDZmZGUyYTNiYTJkMDIxYWI3YmZjMDI3YzBmZTUyNTEiLCJ1c2VySWQiOiIzNzg2MzM0MTUifQ==</vt:lpwstr>
  </property>
</Properties>
</file>