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3A4" w:rsidRDefault="00B67BD8">
      <w:pPr>
        <w:adjustRightInd w:val="0"/>
        <w:snapToGrid w:val="0"/>
        <w:spacing w:afterLines="50" w:after="156" w:line="520" w:lineRule="exact"/>
        <w:jc w:val="left"/>
        <w:rPr>
          <w:rFonts w:ascii="Times New Roman" w:eastAsia="楷体" w:hAnsi="Times New Roman"/>
          <w:sz w:val="24"/>
        </w:rPr>
      </w:pPr>
      <w:r>
        <w:rPr>
          <w:rFonts w:ascii="Times New Roman" w:eastAsia="楷体" w:hAnsi="Times New Roman"/>
          <w:sz w:val="24"/>
        </w:rPr>
        <w:t>证券代码：</w:t>
      </w:r>
      <w:r>
        <w:rPr>
          <w:rFonts w:ascii="Times New Roman" w:eastAsia="楷体" w:hAnsi="Times New Roman"/>
          <w:sz w:val="24"/>
        </w:rPr>
        <w:t xml:space="preserve">600968                                 </w:t>
      </w:r>
      <w:r>
        <w:rPr>
          <w:rFonts w:ascii="Times New Roman" w:eastAsia="楷体" w:hAnsi="Times New Roman"/>
          <w:sz w:val="24"/>
        </w:rPr>
        <w:t>证券简称：海油发展</w:t>
      </w:r>
      <w:r>
        <w:rPr>
          <w:rFonts w:ascii="Times New Roman" w:eastAsia="楷体" w:hAnsi="Times New Roman"/>
          <w:sz w:val="24"/>
        </w:rPr>
        <w:t xml:space="preserve">  </w:t>
      </w:r>
    </w:p>
    <w:p w:rsidR="00C143A4" w:rsidRDefault="00B67BD8">
      <w:pPr>
        <w:spacing w:line="480" w:lineRule="exact"/>
        <w:jc w:val="center"/>
        <w:rPr>
          <w:rFonts w:ascii="Times New Roman" w:hAnsi="Times New Roman"/>
          <w:b/>
          <w:bCs/>
          <w:sz w:val="28"/>
          <w:szCs w:val="30"/>
        </w:rPr>
      </w:pPr>
      <w:r>
        <w:rPr>
          <w:rFonts w:ascii="Times New Roman" w:hAnsi="Times New Roman"/>
          <w:b/>
          <w:bCs/>
          <w:sz w:val="28"/>
          <w:szCs w:val="30"/>
        </w:rPr>
        <w:t>中海油能源发展股份有限公司</w:t>
      </w:r>
    </w:p>
    <w:p w:rsidR="00C143A4" w:rsidRDefault="00B67BD8">
      <w:pPr>
        <w:spacing w:line="480" w:lineRule="exact"/>
        <w:jc w:val="center"/>
        <w:outlineLvl w:val="0"/>
        <w:rPr>
          <w:rFonts w:ascii="Times New Roman" w:hAnsi="Times New Roman"/>
          <w:b/>
          <w:bCs/>
          <w:sz w:val="28"/>
          <w:szCs w:val="30"/>
        </w:rPr>
      </w:pPr>
      <w:r>
        <w:rPr>
          <w:rFonts w:ascii="Times New Roman" w:hAnsi="Times New Roman"/>
          <w:b/>
          <w:bCs/>
          <w:sz w:val="28"/>
          <w:szCs w:val="30"/>
        </w:rPr>
        <w:t>投资者关系活动记录表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6554"/>
      </w:tblGrid>
      <w:tr w:rsidR="00C143A4">
        <w:tc>
          <w:tcPr>
            <w:tcW w:w="1142"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400" w:lineRule="exact"/>
              <w:jc w:val="center"/>
              <w:rPr>
                <w:rFonts w:ascii="Times New Roman" w:hAnsi="Times New Roman"/>
                <w:bCs/>
                <w:sz w:val="24"/>
              </w:rPr>
            </w:pPr>
            <w:r>
              <w:rPr>
                <w:rFonts w:ascii="Times New Roman" w:hAnsi="Times New Roman"/>
                <w:bCs/>
                <w:sz w:val="24"/>
              </w:rPr>
              <w:t>投资者关系活动类别</w:t>
            </w:r>
          </w:p>
        </w:tc>
        <w:tc>
          <w:tcPr>
            <w:tcW w:w="3857" w:type="pct"/>
            <w:tcBorders>
              <w:top w:val="single" w:sz="4" w:space="0" w:color="auto"/>
              <w:left w:val="single" w:sz="4" w:space="0" w:color="auto"/>
              <w:bottom w:val="single" w:sz="4" w:space="0" w:color="auto"/>
              <w:right w:val="single" w:sz="4" w:space="0" w:color="auto"/>
            </w:tcBorders>
            <w:vAlign w:val="center"/>
          </w:tcPr>
          <w:p w:rsidR="00B67BD8" w:rsidRDefault="00B67BD8" w:rsidP="00B67BD8">
            <w:pPr>
              <w:spacing w:line="400" w:lineRule="exact"/>
              <w:rPr>
                <w:rFonts w:ascii="Arial" w:hAnsi="Arial"/>
                <w:bCs/>
                <w:sz w:val="24"/>
              </w:rPr>
            </w:pPr>
            <w:r>
              <w:rPr>
                <w:rFonts w:ascii="Arial" w:hAnsi="Arial" w:hint="eastAsia"/>
                <w:bCs/>
                <w:sz w:val="24"/>
              </w:rPr>
              <w:t>□特定对象调研</w:t>
            </w:r>
            <w:r>
              <w:rPr>
                <w:rFonts w:ascii="Arial" w:hAnsi="Arial" w:hint="eastAsia"/>
                <w:bCs/>
                <w:sz w:val="24"/>
              </w:rPr>
              <w:t xml:space="preserve"> </w:t>
            </w:r>
            <w:r>
              <w:rPr>
                <w:rFonts w:ascii="Arial" w:hAnsi="Arial" w:hint="eastAsia"/>
                <w:bCs/>
                <w:sz w:val="24"/>
              </w:rPr>
              <w:sym w:font="Wingdings 2" w:char="00A3"/>
            </w:r>
            <w:r>
              <w:rPr>
                <w:rFonts w:ascii="Arial" w:hAnsi="Arial" w:hint="eastAsia"/>
                <w:bCs/>
                <w:sz w:val="24"/>
              </w:rPr>
              <w:t>分析师会议</w:t>
            </w:r>
          </w:p>
          <w:p w:rsidR="00B67BD8" w:rsidRDefault="00B67BD8" w:rsidP="00B67BD8">
            <w:pPr>
              <w:spacing w:line="400" w:lineRule="exact"/>
              <w:rPr>
                <w:rFonts w:ascii="Arial" w:hAnsi="Arial"/>
                <w:bCs/>
                <w:sz w:val="24"/>
              </w:rPr>
            </w:pPr>
            <w:r>
              <w:rPr>
                <w:rFonts w:ascii="Arial" w:hAnsi="Arial" w:hint="eastAsia"/>
                <w:bCs/>
                <w:sz w:val="24"/>
              </w:rPr>
              <w:t>□媒体采访</w:t>
            </w:r>
            <w:r>
              <w:rPr>
                <w:rFonts w:ascii="Arial" w:hAnsi="Arial" w:hint="eastAsia"/>
                <w:bCs/>
                <w:sz w:val="24"/>
              </w:rPr>
              <w:t xml:space="preserve"> </w:t>
            </w:r>
            <w:r>
              <w:rPr>
                <w:rFonts w:ascii="Arial" w:hAnsi="Arial"/>
                <w:bCs/>
                <w:sz w:val="24"/>
              </w:rPr>
              <w:t xml:space="preserve">   </w:t>
            </w:r>
            <w:r>
              <w:rPr>
                <w:rFonts w:ascii="Arial" w:hAnsi="Arial" w:hint="eastAsia"/>
                <w:bCs/>
                <w:sz w:val="24"/>
              </w:rPr>
              <w:t xml:space="preserve"> </w:t>
            </w:r>
            <w:r>
              <w:rPr>
                <w:rFonts w:ascii="Arial" w:hAnsi="Arial" w:hint="eastAsia"/>
                <w:bCs/>
                <w:sz w:val="24"/>
              </w:rPr>
              <w:t>□业绩说明会</w:t>
            </w:r>
          </w:p>
          <w:p w:rsidR="00B67BD8" w:rsidRDefault="00B67BD8" w:rsidP="00B67BD8">
            <w:pPr>
              <w:spacing w:line="400" w:lineRule="exact"/>
              <w:rPr>
                <w:rFonts w:ascii="Arial" w:hAnsi="Arial"/>
                <w:bCs/>
                <w:sz w:val="24"/>
              </w:rPr>
            </w:pPr>
            <w:r>
              <w:rPr>
                <w:rFonts w:ascii="Arial" w:hAnsi="Arial" w:hint="eastAsia"/>
                <w:bCs/>
                <w:sz w:val="24"/>
              </w:rPr>
              <w:t>□新闻发布会</w:t>
            </w:r>
            <w:r>
              <w:rPr>
                <w:rFonts w:ascii="Arial" w:hAnsi="Arial" w:hint="eastAsia"/>
                <w:bCs/>
                <w:sz w:val="24"/>
              </w:rPr>
              <w:t xml:space="preserve"> </w:t>
            </w:r>
            <w:r>
              <w:rPr>
                <w:rFonts w:ascii="Arial" w:hAnsi="Arial"/>
                <w:bCs/>
                <w:sz w:val="24"/>
              </w:rPr>
              <w:t xml:space="preserve">  </w:t>
            </w:r>
            <w:r>
              <w:rPr>
                <w:rFonts w:ascii="Arial" w:hAnsi="Arial" w:hint="eastAsia"/>
                <w:bCs/>
                <w:sz w:val="24"/>
              </w:rPr>
              <w:sym w:font="Wingdings 2" w:char="0052"/>
            </w:r>
            <w:r>
              <w:rPr>
                <w:rFonts w:ascii="Arial" w:hAnsi="Arial" w:hint="eastAsia"/>
                <w:bCs/>
                <w:sz w:val="24"/>
              </w:rPr>
              <w:t>路演活动</w:t>
            </w:r>
          </w:p>
          <w:p w:rsidR="00B67BD8" w:rsidRDefault="00B67BD8" w:rsidP="00B67BD8">
            <w:pPr>
              <w:spacing w:line="400" w:lineRule="exact"/>
              <w:rPr>
                <w:rFonts w:ascii="Arial" w:hAnsi="Arial"/>
                <w:bCs/>
                <w:sz w:val="24"/>
              </w:rPr>
            </w:pPr>
            <w:r>
              <w:rPr>
                <w:rFonts w:ascii="Arial" w:hAnsi="Arial" w:hint="eastAsia"/>
                <w:bCs/>
                <w:sz w:val="24"/>
              </w:rPr>
              <w:t>□现场参观</w:t>
            </w:r>
          </w:p>
          <w:p w:rsidR="00C143A4" w:rsidRDefault="00B67BD8">
            <w:pPr>
              <w:spacing w:line="400" w:lineRule="exact"/>
              <w:rPr>
                <w:rFonts w:ascii="Times New Roman" w:hAnsi="Times New Roman"/>
                <w:bCs/>
                <w:sz w:val="24"/>
              </w:rPr>
            </w:pPr>
            <w:r>
              <w:rPr>
                <w:rFonts w:ascii="Arial" w:hAnsi="Arial" w:hint="eastAsia"/>
                <w:bCs/>
                <w:sz w:val="24"/>
              </w:rPr>
              <w:t>□其他（</w:t>
            </w:r>
            <w:proofErr w:type="gramStart"/>
            <w:r>
              <w:rPr>
                <w:rFonts w:ascii="Arial" w:hAnsi="Arial" w:hint="eastAsia"/>
                <w:bCs/>
                <w:sz w:val="24"/>
              </w:rPr>
              <w:t>请文字</w:t>
            </w:r>
            <w:proofErr w:type="gramEnd"/>
            <w:r>
              <w:rPr>
                <w:rFonts w:ascii="Arial" w:hAnsi="Arial" w:hint="eastAsia"/>
                <w:bCs/>
                <w:sz w:val="24"/>
              </w:rPr>
              <w:t>说明其他活动内容）</w:t>
            </w:r>
          </w:p>
        </w:tc>
      </w:tr>
      <w:tr w:rsidR="00C143A4">
        <w:tc>
          <w:tcPr>
            <w:tcW w:w="1142"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360" w:lineRule="auto"/>
              <w:jc w:val="center"/>
              <w:rPr>
                <w:rFonts w:ascii="Times New Roman" w:hAnsi="Times New Roman"/>
                <w:bCs/>
                <w:sz w:val="24"/>
              </w:rPr>
            </w:pPr>
            <w:r>
              <w:rPr>
                <w:rFonts w:ascii="Times New Roman" w:hAnsi="Times New Roman"/>
                <w:bCs/>
                <w:sz w:val="24"/>
              </w:rPr>
              <w:t>时间</w:t>
            </w:r>
          </w:p>
        </w:tc>
        <w:tc>
          <w:tcPr>
            <w:tcW w:w="3857"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440" w:lineRule="exact"/>
              <w:rPr>
                <w:rFonts w:ascii="Times New Roman" w:hAnsi="Times New Roman"/>
                <w:sz w:val="24"/>
              </w:rPr>
            </w:pPr>
            <w:r>
              <w:rPr>
                <w:rFonts w:ascii="Times New Roman" w:hAnsi="Times New Roman"/>
                <w:sz w:val="24"/>
              </w:rPr>
              <w:t>2026</w:t>
            </w:r>
            <w:r>
              <w:rPr>
                <w:rFonts w:ascii="Times New Roman" w:hAnsi="Times New Roman"/>
                <w:sz w:val="24"/>
              </w:rPr>
              <w:t>年</w:t>
            </w:r>
            <w:r>
              <w:rPr>
                <w:rFonts w:ascii="Times New Roman" w:hAnsi="Times New Roman"/>
                <w:sz w:val="24"/>
              </w:rPr>
              <w:t>4</w:t>
            </w:r>
            <w:r>
              <w:rPr>
                <w:rFonts w:ascii="Times New Roman" w:hAnsi="Times New Roman"/>
                <w:sz w:val="24"/>
              </w:rPr>
              <w:t>月</w:t>
            </w:r>
            <w:r>
              <w:rPr>
                <w:rFonts w:ascii="Times New Roman" w:hAnsi="Times New Roman"/>
                <w:sz w:val="24"/>
              </w:rPr>
              <w:t>14</w:t>
            </w:r>
            <w:r>
              <w:rPr>
                <w:rFonts w:ascii="Times New Roman" w:hAnsi="Times New Roman"/>
                <w:sz w:val="24"/>
              </w:rPr>
              <w:t>日</w:t>
            </w:r>
            <w:r>
              <w:rPr>
                <w:rFonts w:ascii="Times New Roman" w:hAnsi="Times New Roman"/>
                <w:sz w:val="24"/>
              </w:rPr>
              <w:t>-4</w:t>
            </w:r>
            <w:r>
              <w:rPr>
                <w:rFonts w:ascii="Times New Roman" w:hAnsi="Times New Roman"/>
                <w:sz w:val="24"/>
              </w:rPr>
              <w:t>月</w:t>
            </w:r>
            <w:r>
              <w:rPr>
                <w:rFonts w:ascii="Times New Roman" w:hAnsi="Times New Roman"/>
                <w:sz w:val="24"/>
              </w:rPr>
              <w:t>17</w:t>
            </w:r>
            <w:r>
              <w:rPr>
                <w:rFonts w:ascii="Times New Roman" w:hAnsi="Times New Roman"/>
                <w:sz w:val="24"/>
              </w:rPr>
              <w:t>日</w:t>
            </w:r>
          </w:p>
        </w:tc>
      </w:tr>
      <w:tr w:rsidR="00C143A4">
        <w:tc>
          <w:tcPr>
            <w:tcW w:w="1142"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360" w:lineRule="auto"/>
              <w:jc w:val="center"/>
              <w:rPr>
                <w:rFonts w:ascii="Times New Roman" w:hAnsi="Times New Roman"/>
                <w:bCs/>
                <w:sz w:val="24"/>
              </w:rPr>
            </w:pPr>
            <w:r>
              <w:rPr>
                <w:rFonts w:ascii="Times New Roman" w:hAnsi="Times New Roman"/>
                <w:bCs/>
                <w:sz w:val="24"/>
              </w:rPr>
              <w:t>地点</w:t>
            </w:r>
          </w:p>
        </w:tc>
        <w:tc>
          <w:tcPr>
            <w:tcW w:w="3857"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440" w:lineRule="exact"/>
              <w:rPr>
                <w:rFonts w:ascii="Times New Roman" w:hAnsi="Times New Roman"/>
                <w:sz w:val="24"/>
              </w:rPr>
            </w:pPr>
            <w:r>
              <w:rPr>
                <w:rFonts w:ascii="Times New Roman" w:hAnsi="Times New Roman"/>
                <w:sz w:val="24"/>
              </w:rPr>
              <w:t>深圳、上海</w:t>
            </w:r>
          </w:p>
        </w:tc>
      </w:tr>
      <w:tr w:rsidR="00C143A4">
        <w:tc>
          <w:tcPr>
            <w:tcW w:w="1142"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360" w:lineRule="auto"/>
              <w:jc w:val="center"/>
              <w:rPr>
                <w:rFonts w:ascii="Times New Roman" w:hAnsi="Times New Roman"/>
                <w:bCs/>
                <w:sz w:val="24"/>
              </w:rPr>
            </w:pPr>
            <w:r>
              <w:rPr>
                <w:rFonts w:ascii="Times New Roman" w:hAnsi="Times New Roman"/>
                <w:bCs/>
                <w:sz w:val="24"/>
              </w:rPr>
              <w:t>参与单位名称及人员姓名</w:t>
            </w:r>
          </w:p>
        </w:tc>
        <w:tc>
          <w:tcPr>
            <w:tcW w:w="3857"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440" w:lineRule="exact"/>
              <w:rPr>
                <w:rFonts w:ascii="Times New Roman" w:hAnsi="Times New Roman"/>
                <w:sz w:val="24"/>
              </w:rPr>
            </w:pPr>
            <w:r>
              <w:rPr>
                <w:rFonts w:ascii="Times New Roman" w:hAnsi="Times New Roman"/>
                <w:sz w:val="24"/>
              </w:rPr>
              <w:t>诺安基金、鹏华基金、南方基金、易方达基金、景顺长城基金、兴全基金、太保资产、交银基金、摩根基金、富国基金、博时基金、国泰基金</w:t>
            </w:r>
          </w:p>
        </w:tc>
      </w:tr>
      <w:tr w:rsidR="00C143A4">
        <w:tc>
          <w:tcPr>
            <w:tcW w:w="1142"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276" w:lineRule="auto"/>
              <w:jc w:val="center"/>
              <w:rPr>
                <w:rFonts w:ascii="Times New Roman" w:hAnsi="Times New Roman"/>
                <w:bCs/>
                <w:sz w:val="24"/>
              </w:rPr>
            </w:pPr>
            <w:r>
              <w:rPr>
                <w:rFonts w:ascii="Times New Roman" w:hAnsi="Times New Roman"/>
                <w:bCs/>
                <w:sz w:val="24"/>
              </w:rPr>
              <w:t>上市公司接待人员姓名</w:t>
            </w:r>
          </w:p>
        </w:tc>
        <w:tc>
          <w:tcPr>
            <w:tcW w:w="3857" w:type="pct"/>
            <w:tcBorders>
              <w:top w:val="single" w:sz="4" w:space="0" w:color="auto"/>
              <w:left w:val="single" w:sz="4" w:space="0" w:color="auto"/>
              <w:bottom w:val="single" w:sz="4" w:space="0" w:color="auto"/>
              <w:right w:val="single" w:sz="4" w:space="0" w:color="auto"/>
            </w:tcBorders>
            <w:vAlign w:val="center"/>
          </w:tcPr>
          <w:tbl>
            <w:tblPr>
              <w:tblW w:w="5000" w:type="pct"/>
              <w:tblLook w:val="04A0" w:firstRow="1" w:lastRow="0" w:firstColumn="1" w:lastColumn="0" w:noHBand="0" w:noVBand="1"/>
            </w:tblPr>
            <w:tblGrid>
              <w:gridCol w:w="1284"/>
              <w:gridCol w:w="5054"/>
            </w:tblGrid>
            <w:tr w:rsidR="00C143A4">
              <w:trPr>
                <w:trHeight w:val="285"/>
              </w:trPr>
              <w:tc>
                <w:tcPr>
                  <w:tcW w:w="1013" w:type="pct"/>
                  <w:shd w:val="clear" w:color="auto" w:fill="auto"/>
                  <w:noWrap/>
                  <w:vAlign w:val="bottom"/>
                </w:tcPr>
                <w:p w:rsidR="00C143A4" w:rsidRDefault="00B67BD8">
                  <w:pPr>
                    <w:spacing w:line="276" w:lineRule="auto"/>
                    <w:rPr>
                      <w:rFonts w:ascii="Times New Roman" w:hAnsi="Times New Roman"/>
                      <w:sz w:val="24"/>
                    </w:rPr>
                  </w:pPr>
                  <w:r>
                    <w:rPr>
                      <w:rFonts w:ascii="Times New Roman" w:hAnsi="Times New Roman"/>
                      <w:sz w:val="24"/>
                    </w:rPr>
                    <w:t>肖德斌</w:t>
                  </w:r>
                </w:p>
              </w:tc>
              <w:tc>
                <w:tcPr>
                  <w:tcW w:w="3986" w:type="pct"/>
                  <w:shd w:val="clear" w:color="auto" w:fill="auto"/>
                  <w:noWrap/>
                  <w:vAlign w:val="center"/>
                </w:tcPr>
                <w:p w:rsidR="00C143A4" w:rsidRDefault="00B67BD8">
                  <w:pPr>
                    <w:spacing w:line="276" w:lineRule="auto"/>
                    <w:rPr>
                      <w:rFonts w:ascii="Times New Roman" w:hAnsi="Times New Roman"/>
                      <w:sz w:val="24"/>
                    </w:rPr>
                  </w:pPr>
                  <w:r>
                    <w:rPr>
                      <w:rFonts w:ascii="Times New Roman" w:hAnsi="Times New Roman"/>
                      <w:sz w:val="24"/>
                    </w:rPr>
                    <w:t>董事会秘书、总法律顾问、首席合</w:t>
                  </w:r>
                  <w:proofErr w:type="gramStart"/>
                  <w:r>
                    <w:rPr>
                      <w:rFonts w:ascii="Times New Roman" w:hAnsi="Times New Roman"/>
                      <w:sz w:val="24"/>
                    </w:rPr>
                    <w:t>规</w:t>
                  </w:r>
                  <w:proofErr w:type="gramEnd"/>
                  <w:r>
                    <w:rPr>
                      <w:rFonts w:ascii="Times New Roman" w:hAnsi="Times New Roman"/>
                      <w:sz w:val="24"/>
                    </w:rPr>
                    <w:t>官</w:t>
                  </w:r>
                </w:p>
              </w:tc>
            </w:tr>
            <w:tr w:rsidR="00C143A4">
              <w:trPr>
                <w:trHeight w:val="285"/>
              </w:trPr>
              <w:tc>
                <w:tcPr>
                  <w:tcW w:w="1013" w:type="pct"/>
                  <w:shd w:val="clear" w:color="auto" w:fill="auto"/>
                  <w:noWrap/>
                  <w:vAlign w:val="bottom"/>
                </w:tcPr>
                <w:p w:rsidR="00C143A4" w:rsidRDefault="00B67BD8">
                  <w:pPr>
                    <w:spacing w:line="276" w:lineRule="auto"/>
                    <w:rPr>
                      <w:rFonts w:ascii="Times New Roman" w:hAnsi="Times New Roman"/>
                      <w:sz w:val="24"/>
                    </w:rPr>
                  </w:pPr>
                  <w:r>
                    <w:rPr>
                      <w:rFonts w:ascii="Times New Roman" w:hAnsi="Times New Roman"/>
                      <w:sz w:val="24"/>
                    </w:rPr>
                    <w:t>叶</w:t>
                  </w:r>
                  <w:r>
                    <w:rPr>
                      <w:rFonts w:ascii="Times New Roman" w:hAnsi="Times New Roman"/>
                      <w:sz w:val="24"/>
                    </w:rPr>
                    <w:t xml:space="preserve">  </w:t>
                  </w:r>
                  <w:proofErr w:type="gramStart"/>
                  <w:r>
                    <w:rPr>
                      <w:rFonts w:ascii="Times New Roman" w:hAnsi="Times New Roman"/>
                      <w:sz w:val="24"/>
                    </w:rPr>
                    <w:t>斌</w:t>
                  </w:r>
                  <w:proofErr w:type="gramEnd"/>
                </w:p>
              </w:tc>
              <w:tc>
                <w:tcPr>
                  <w:tcW w:w="3986" w:type="pct"/>
                  <w:shd w:val="clear" w:color="auto" w:fill="auto"/>
                  <w:noWrap/>
                  <w:vAlign w:val="center"/>
                </w:tcPr>
                <w:p w:rsidR="00C143A4" w:rsidRDefault="00B67BD8">
                  <w:pPr>
                    <w:spacing w:line="276" w:lineRule="auto"/>
                    <w:rPr>
                      <w:rFonts w:ascii="Times New Roman" w:hAnsi="Times New Roman"/>
                      <w:sz w:val="24"/>
                    </w:rPr>
                  </w:pPr>
                  <w:r>
                    <w:rPr>
                      <w:rFonts w:ascii="Times New Roman" w:hAnsi="Times New Roman"/>
                      <w:sz w:val="24"/>
                    </w:rPr>
                    <w:t>经营管理部副总经理</w:t>
                  </w:r>
                </w:p>
              </w:tc>
            </w:tr>
            <w:tr w:rsidR="00C143A4">
              <w:trPr>
                <w:trHeight w:val="285"/>
              </w:trPr>
              <w:tc>
                <w:tcPr>
                  <w:tcW w:w="1013" w:type="pct"/>
                  <w:shd w:val="clear" w:color="auto" w:fill="auto"/>
                  <w:noWrap/>
                  <w:vAlign w:val="bottom"/>
                </w:tcPr>
                <w:p w:rsidR="00C143A4" w:rsidRDefault="00B67BD8">
                  <w:pPr>
                    <w:spacing w:line="276" w:lineRule="auto"/>
                    <w:rPr>
                      <w:rFonts w:ascii="Times New Roman" w:hAnsi="Times New Roman"/>
                      <w:sz w:val="24"/>
                    </w:rPr>
                  </w:pPr>
                  <w:r>
                    <w:rPr>
                      <w:rFonts w:ascii="Times New Roman" w:hAnsi="Times New Roman"/>
                      <w:sz w:val="24"/>
                    </w:rPr>
                    <w:t>赖天明</w:t>
                  </w:r>
                </w:p>
              </w:tc>
              <w:tc>
                <w:tcPr>
                  <w:tcW w:w="3986" w:type="pct"/>
                  <w:shd w:val="clear" w:color="auto" w:fill="auto"/>
                  <w:noWrap/>
                  <w:vAlign w:val="center"/>
                </w:tcPr>
                <w:p w:rsidR="00C143A4" w:rsidRDefault="00B67BD8">
                  <w:pPr>
                    <w:spacing w:line="276" w:lineRule="auto"/>
                    <w:rPr>
                      <w:rFonts w:ascii="Times New Roman" w:hAnsi="Times New Roman"/>
                      <w:sz w:val="24"/>
                    </w:rPr>
                  </w:pPr>
                  <w:r>
                    <w:rPr>
                      <w:rFonts w:ascii="Times New Roman" w:hAnsi="Times New Roman"/>
                      <w:sz w:val="24"/>
                    </w:rPr>
                    <w:t>财务</w:t>
                  </w:r>
                  <w:proofErr w:type="gramStart"/>
                  <w:r>
                    <w:rPr>
                      <w:rFonts w:ascii="Times New Roman" w:hAnsi="Times New Roman"/>
                      <w:sz w:val="24"/>
                    </w:rPr>
                    <w:t>部预算</w:t>
                  </w:r>
                  <w:proofErr w:type="gramEnd"/>
                  <w:r>
                    <w:rPr>
                      <w:rFonts w:ascii="Times New Roman" w:hAnsi="Times New Roman"/>
                      <w:sz w:val="24"/>
                    </w:rPr>
                    <w:t>分析经理</w:t>
                  </w:r>
                </w:p>
              </w:tc>
            </w:tr>
            <w:tr w:rsidR="00C143A4">
              <w:trPr>
                <w:trHeight w:val="285"/>
              </w:trPr>
              <w:tc>
                <w:tcPr>
                  <w:tcW w:w="1013" w:type="pct"/>
                  <w:shd w:val="clear" w:color="auto" w:fill="auto"/>
                  <w:noWrap/>
                  <w:vAlign w:val="bottom"/>
                </w:tcPr>
                <w:p w:rsidR="00C143A4" w:rsidRDefault="00B67BD8">
                  <w:pPr>
                    <w:spacing w:line="276" w:lineRule="auto"/>
                    <w:rPr>
                      <w:rFonts w:ascii="Times New Roman" w:hAnsi="Times New Roman"/>
                      <w:sz w:val="24"/>
                    </w:rPr>
                  </w:pPr>
                  <w:r>
                    <w:rPr>
                      <w:rFonts w:ascii="Times New Roman" w:hAnsi="Times New Roman"/>
                      <w:sz w:val="24"/>
                    </w:rPr>
                    <w:t>刘</w:t>
                  </w:r>
                  <w:r>
                    <w:rPr>
                      <w:rFonts w:ascii="Times New Roman" w:hAnsi="Times New Roman"/>
                      <w:sz w:val="24"/>
                    </w:rPr>
                    <w:t xml:space="preserve">  </w:t>
                  </w:r>
                  <w:r>
                    <w:rPr>
                      <w:rFonts w:ascii="Times New Roman" w:hAnsi="Times New Roman"/>
                      <w:sz w:val="24"/>
                    </w:rPr>
                    <w:t>辰</w:t>
                  </w:r>
                </w:p>
              </w:tc>
              <w:tc>
                <w:tcPr>
                  <w:tcW w:w="3986" w:type="pct"/>
                  <w:shd w:val="clear" w:color="auto" w:fill="auto"/>
                  <w:noWrap/>
                  <w:vAlign w:val="center"/>
                </w:tcPr>
                <w:p w:rsidR="00C143A4" w:rsidRDefault="00B67BD8">
                  <w:pPr>
                    <w:spacing w:line="276" w:lineRule="auto"/>
                    <w:rPr>
                      <w:rFonts w:ascii="Times New Roman" w:hAnsi="Times New Roman"/>
                      <w:sz w:val="24"/>
                    </w:rPr>
                  </w:pPr>
                  <w:r>
                    <w:rPr>
                      <w:rFonts w:ascii="Times New Roman" w:hAnsi="Times New Roman"/>
                      <w:sz w:val="24"/>
                    </w:rPr>
                    <w:t>董事会办公室董事会与价值管理经理</w:t>
                  </w:r>
                </w:p>
              </w:tc>
            </w:tr>
          </w:tbl>
          <w:p w:rsidR="00C143A4" w:rsidRDefault="00C143A4">
            <w:pPr>
              <w:spacing w:line="276" w:lineRule="auto"/>
              <w:rPr>
                <w:rFonts w:ascii="Times New Roman" w:hAnsi="Times New Roman"/>
                <w:sz w:val="24"/>
              </w:rPr>
            </w:pPr>
          </w:p>
        </w:tc>
      </w:tr>
      <w:tr w:rsidR="00C143A4">
        <w:tc>
          <w:tcPr>
            <w:tcW w:w="1142"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360" w:lineRule="auto"/>
              <w:jc w:val="center"/>
              <w:rPr>
                <w:rFonts w:ascii="Times New Roman" w:hAnsi="Times New Roman"/>
                <w:bCs/>
                <w:sz w:val="24"/>
              </w:rPr>
            </w:pPr>
            <w:r>
              <w:rPr>
                <w:rFonts w:ascii="Times New Roman" w:hAnsi="Times New Roman"/>
                <w:bCs/>
                <w:sz w:val="24"/>
              </w:rPr>
              <w:t>投资者关系活动主要内容介绍</w:t>
            </w:r>
          </w:p>
        </w:tc>
        <w:tc>
          <w:tcPr>
            <w:tcW w:w="3857" w:type="pct"/>
            <w:tcBorders>
              <w:top w:val="single" w:sz="4" w:space="0" w:color="auto"/>
              <w:left w:val="single" w:sz="4" w:space="0" w:color="auto"/>
              <w:bottom w:val="single" w:sz="4" w:space="0" w:color="auto"/>
              <w:right w:val="single" w:sz="4" w:space="0" w:color="auto"/>
            </w:tcBorders>
            <w:vAlign w:val="center"/>
          </w:tcPr>
          <w:p w:rsidR="00C143A4" w:rsidRDefault="00B67BD8">
            <w:pPr>
              <w:rPr>
                <w:rFonts w:ascii="Times New Roman" w:hAnsi="Times New Roman"/>
                <w:sz w:val="24"/>
              </w:rPr>
            </w:pPr>
            <w:bookmarkStart w:id="0" w:name="_Toc2358"/>
            <w:r>
              <w:rPr>
                <w:rFonts w:ascii="Times New Roman" w:hAnsi="Times New Roman"/>
                <w:sz w:val="24"/>
              </w:rPr>
              <w:t>Q1</w:t>
            </w:r>
            <w:r>
              <w:rPr>
                <w:rFonts w:ascii="Times New Roman" w:hAnsi="Times New Roman"/>
                <w:sz w:val="24"/>
              </w:rPr>
              <w:t>：</w:t>
            </w:r>
            <w:bookmarkEnd w:id="0"/>
            <w:r>
              <w:rPr>
                <w:rFonts w:ascii="Times New Roman" w:hAnsi="Times New Roman"/>
                <w:b/>
                <w:bCs/>
                <w:sz w:val="24"/>
              </w:rPr>
              <w:t>在</w:t>
            </w:r>
            <w:r>
              <w:rPr>
                <w:rFonts w:ascii="Times New Roman" w:hAnsi="Times New Roman"/>
                <w:b/>
                <w:bCs/>
                <w:sz w:val="24"/>
              </w:rPr>
              <w:t>“</w:t>
            </w:r>
            <w:r>
              <w:rPr>
                <w:rFonts w:ascii="Times New Roman" w:hAnsi="Times New Roman"/>
                <w:b/>
                <w:bCs/>
                <w:sz w:val="24"/>
              </w:rPr>
              <w:t>十四五</w:t>
            </w:r>
            <w:r>
              <w:rPr>
                <w:rFonts w:ascii="Times New Roman" w:hAnsi="Times New Roman"/>
                <w:b/>
                <w:bCs/>
                <w:sz w:val="24"/>
              </w:rPr>
              <w:t>”</w:t>
            </w:r>
            <w:r>
              <w:rPr>
                <w:rFonts w:ascii="Times New Roman" w:hAnsi="Times New Roman"/>
                <w:b/>
                <w:bCs/>
                <w:sz w:val="24"/>
              </w:rPr>
              <w:t>高速增长过后，公司</w:t>
            </w:r>
            <w:r>
              <w:rPr>
                <w:rFonts w:ascii="Times New Roman" w:hAnsi="Times New Roman"/>
                <w:b/>
                <w:bCs/>
                <w:sz w:val="24"/>
              </w:rPr>
              <w:t>“</w:t>
            </w:r>
            <w:r>
              <w:rPr>
                <w:rFonts w:ascii="Times New Roman" w:hAnsi="Times New Roman"/>
                <w:b/>
                <w:bCs/>
                <w:sz w:val="24"/>
              </w:rPr>
              <w:t>十五五</w:t>
            </w:r>
            <w:r>
              <w:rPr>
                <w:rFonts w:ascii="Times New Roman" w:hAnsi="Times New Roman"/>
                <w:b/>
                <w:bCs/>
                <w:sz w:val="24"/>
              </w:rPr>
              <w:t>”</w:t>
            </w:r>
            <w:r>
              <w:rPr>
                <w:rFonts w:ascii="Times New Roman" w:hAnsi="Times New Roman"/>
                <w:b/>
                <w:bCs/>
                <w:sz w:val="24"/>
              </w:rPr>
              <w:t>期间的增长动力是什么？增长空间是否会收窄？</w:t>
            </w:r>
          </w:p>
          <w:p w:rsidR="00C143A4" w:rsidRDefault="00B67BD8">
            <w:pPr>
              <w:rPr>
                <w:rFonts w:ascii="Times New Roman" w:hAnsi="Times New Roman"/>
                <w:sz w:val="24"/>
              </w:rPr>
            </w:pPr>
            <w:r>
              <w:rPr>
                <w:rFonts w:ascii="Times New Roman" w:hAnsi="Times New Roman"/>
                <w:sz w:val="24"/>
              </w:rPr>
              <w:t>A1</w:t>
            </w:r>
            <w:r>
              <w:rPr>
                <w:rFonts w:ascii="Times New Roman" w:hAnsi="Times New Roman"/>
                <w:sz w:val="24"/>
              </w:rPr>
              <w:t>：</w:t>
            </w:r>
            <w:proofErr w:type="gramStart"/>
            <w:r>
              <w:rPr>
                <w:rFonts w:ascii="Times New Roman" w:hAnsi="Times New Roman"/>
                <w:sz w:val="24"/>
              </w:rPr>
              <w:t>十五五</w:t>
            </w:r>
            <w:proofErr w:type="gramEnd"/>
            <w:r>
              <w:rPr>
                <w:rFonts w:ascii="Times New Roman" w:hAnsi="Times New Roman"/>
                <w:sz w:val="24"/>
              </w:rPr>
              <w:t>期间，公司将聚力实施产业</w:t>
            </w:r>
            <w:bookmarkStart w:id="1" w:name="_GoBack"/>
            <w:bookmarkEnd w:id="1"/>
            <w:r>
              <w:rPr>
                <w:rFonts w:ascii="Times New Roman" w:hAnsi="Times New Roman"/>
                <w:sz w:val="24"/>
              </w:rPr>
              <w:t>转型升级，深耕服务保障增储上产主业，开发高价值产品服务，持续拓展两外市场进行布局</w:t>
            </w:r>
            <w:r>
              <w:rPr>
                <w:rFonts w:ascii="Times New Roman" w:hAnsi="Times New Roman" w:hint="eastAsia"/>
                <w:sz w:val="24"/>
              </w:rPr>
              <w:t>，进一步拓宽增长空间</w:t>
            </w:r>
            <w:r>
              <w:rPr>
                <w:rFonts w:ascii="Times New Roman" w:hAnsi="Times New Roman"/>
                <w:sz w:val="24"/>
              </w:rPr>
              <w:t>。</w:t>
            </w:r>
            <w:r>
              <w:rPr>
                <w:rFonts w:ascii="Times New Roman" w:hAnsi="Times New Roman" w:hint="eastAsia"/>
                <w:sz w:val="24"/>
              </w:rPr>
              <w:t>为解决</w:t>
            </w:r>
            <w:r>
              <w:rPr>
                <w:rFonts w:ascii="Times New Roman" w:hAnsi="Times New Roman"/>
                <w:sz w:val="24"/>
              </w:rPr>
              <w:t>油气田</w:t>
            </w:r>
            <w:r>
              <w:rPr>
                <w:rFonts w:ascii="Times New Roman" w:hAnsi="Times New Roman"/>
                <w:sz w:val="24"/>
              </w:rPr>
              <w:t>“</w:t>
            </w:r>
            <w:r>
              <w:rPr>
                <w:rFonts w:ascii="Times New Roman" w:hAnsi="Times New Roman"/>
                <w:sz w:val="24"/>
              </w:rPr>
              <w:t>稳产、增产、提高采收率</w:t>
            </w:r>
            <w:r>
              <w:rPr>
                <w:rFonts w:ascii="Times New Roman" w:hAnsi="Times New Roman"/>
                <w:sz w:val="24"/>
              </w:rPr>
              <w:t>”</w:t>
            </w:r>
            <w:r>
              <w:rPr>
                <w:rFonts w:ascii="Times New Roman" w:hAnsi="Times New Roman"/>
                <w:sz w:val="24"/>
              </w:rPr>
              <w:t>的实际需要，相关技术服务需求仍然是刚性、可持续的。公司通过技术升级，持续降低服务成本，</w:t>
            </w:r>
            <w:r>
              <w:rPr>
                <w:rFonts w:ascii="Times New Roman" w:hAnsi="Times New Roman" w:hint="eastAsia"/>
                <w:sz w:val="24"/>
              </w:rPr>
              <w:t>力争</w:t>
            </w:r>
            <w:r>
              <w:rPr>
                <w:rFonts w:ascii="Times New Roman" w:hAnsi="Times New Roman"/>
                <w:sz w:val="24"/>
              </w:rPr>
              <w:t>在高端装备、关键工具领域占据更</w:t>
            </w:r>
            <w:r>
              <w:rPr>
                <w:rFonts w:ascii="Times New Roman" w:hAnsi="Times New Roman" w:hint="eastAsia"/>
                <w:sz w:val="24"/>
              </w:rPr>
              <w:t>大的</w:t>
            </w:r>
            <w:r>
              <w:rPr>
                <w:rFonts w:ascii="Times New Roman" w:hAnsi="Times New Roman"/>
                <w:sz w:val="24"/>
              </w:rPr>
              <w:t>市场份额。同时，在重点国别、重点区域部署营销渠道，获取重点客户市场准入，提升区域市场运营能力。</w:t>
            </w:r>
          </w:p>
          <w:p w:rsidR="00C143A4" w:rsidRDefault="00B67BD8">
            <w:pPr>
              <w:widowControl/>
              <w:rPr>
                <w:rFonts w:ascii="Times New Roman" w:hAnsi="Times New Roman"/>
                <w:sz w:val="24"/>
              </w:rPr>
            </w:pPr>
            <w:bookmarkStart w:id="2" w:name="_Toc22235"/>
            <w:r>
              <w:rPr>
                <w:rFonts w:ascii="Times New Roman" w:hAnsi="Times New Roman"/>
                <w:sz w:val="24"/>
              </w:rPr>
              <w:t>Q2</w:t>
            </w:r>
            <w:r>
              <w:rPr>
                <w:rFonts w:ascii="Times New Roman" w:hAnsi="Times New Roman"/>
                <w:sz w:val="24"/>
              </w:rPr>
              <w:t>：</w:t>
            </w:r>
            <w:bookmarkEnd w:id="2"/>
            <w:r>
              <w:rPr>
                <w:rStyle w:val="af"/>
                <w:rFonts w:ascii="Times New Roman" w:eastAsiaTheme="minorEastAsia" w:hAnsi="Times New Roman"/>
                <w:kern w:val="0"/>
                <w:sz w:val="24"/>
                <w:lang w:bidi="ar"/>
              </w:rPr>
              <w:t>低碳环保与数字化产业的具体构成、发展现状是怎样的？</w:t>
            </w:r>
          </w:p>
          <w:p w:rsidR="00C143A4" w:rsidRDefault="00B67BD8">
            <w:pPr>
              <w:rPr>
                <w:rFonts w:ascii="Times New Roman" w:hAnsi="Times New Roman"/>
                <w:sz w:val="24"/>
              </w:rPr>
            </w:pPr>
            <w:r>
              <w:rPr>
                <w:rFonts w:ascii="Times New Roman" w:hAnsi="Times New Roman"/>
                <w:sz w:val="24"/>
              </w:rPr>
              <w:t>A2</w:t>
            </w:r>
            <w:r>
              <w:rPr>
                <w:rFonts w:ascii="Times New Roman" w:hAnsi="Times New Roman"/>
                <w:sz w:val="24"/>
              </w:rPr>
              <w:t>：公司低碳环保与数字化产业主要包括新能源业务、安全环保</w:t>
            </w:r>
            <w:r>
              <w:rPr>
                <w:rFonts w:ascii="Times New Roman" w:hAnsi="Times New Roman"/>
                <w:sz w:val="24"/>
              </w:rPr>
              <w:t>业务、数字科技业务及新材料业务</w:t>
            </w:r>
            <w:r>
              <w:rPr>
                <w:rFonts w:ascii="Times New Roman" w:hAnsi="Times New Roman" w:hint="eastAsia"/>
                <w:sz w:val="24"/>
              </w:rPr>
              <w:t>，</w:t>
            </w:r>
            <w:r>
              <w:rPr>
                <w:rFonts w:ascii="Times New Roman" w:hAnsi="Times New Roman"/>
                <w:sz w:val="24"/>
              </w:rPr>
              <w:t>2025</w:t>
            </w:r>
            <w:r>
              <w:rPr>
                <w:rFonts w:ascii="Times New Roman" w:hAnsi="Times New Roman"/>
                <w:sz w:val="24"/>
              </w:rPr>
              <w:t>年实现营业收入</w:t>
            </w:r>
            <w:r>
              <w:rPr>
                <w:rFonts w:ascii="Times New Roman" w:hAnsi="Times New Roman"/>
                <w:sz w:val="24"/>
              </w:rPr>
              <w:t>102.48</w:t>
            </w:r>
            <w:r>
              <w:rPr>
                <w:rFonts w:ascii="Times New Roman" w:hAnsi="Times New Roman"/>
                <w:sz w:val="24"/>
              </w:rPr>
              <w:t>亿元，增长</w:t>
            </w:r>
            <w:r>
              <w:rPr>
                <w:rFonts w:ascii="Times New Roman" w:hAnsi="Times New Roman"/>
                <w:sz w:val="24"/>
              </w:rPr>
              <w:t>1.87%</w:t>
            </w:r>
            <w:r>
              <w:rPr>
                <w:rFonts w:ascii="Times New Roman" w:hAnsi="Times New Roman"/>
                <w:sz w:val="24"/>
              </w:rPr>
              <w:t>。低碳环保与数字化产业外部业务占比相对较高，受行业波动影响较大，</w:t>
            </w:r>
            <w:r>
              <w:rPr>
                <w:rFonts w:ascii="Times New Roman" w:hAnsi="Times New Roman"/>
                <w:sz w:val="24"/>
              </w:rPr>
              <w:t>“</w:t>
            </w:r>
            <w:r>
              <w:rPr>
                <w:rFonts w:ascii="Times New Roman" w:hAnsi="Times New Roman"/>
                <w:sz w:val="24"/>
              </w:rPr>
              <w:t>十四五</w:t>
            </w:r>
            <w:r>
              <w:rPr>
                <w:rFonts w:ascii="Times New Roman" w:hAnsi="Times New Roman"/>
                <w:sz w:val="24"/>
              </w:rPr>
              <w:t>”</w:t>
            </w:r>
            <w:r>
              <w:rPr>
                <w:rFonts w:ascii="Times New Roman" w:hAnsi="Times New Roman"/>
                <w:sz w:val="24"/>
              </w:rPr>
              <w:t>期间，克服行业环境波动影响，营业收入保持连续增长，产业规模和效益稳步提升。低碳环保与数字化产业是公司打造具有国际竞争力的专业化创新型能源技术服务公司的重要支撑，为公司</w:t>
            </w:r>
            <w:r>
              <w:rPr>
                <w:rFonts w:ascii="Times New Roman" w:hAnsi="Times New Roman"/>
                <w:sz w:val="24"/>
              </w:rPr>
              <w:t>“</w:t>
            </w:r>
            <w:r>
              <w:rPr>
                <w:rFonts w:ascii="Times New Roman" w:hAnsi="Times New Roman"/>
                <w:sz w:val="24"/>
              </w:rPr>
              <w:t>第二增长曲线</w:t>
            </w:r>
            <w:r>
              <w:rPr>
                <w:rFonts w:ascii="Times New Roman" w:hAnsi="Times New Roman"/>
                <w:sz w:val="24"/>
              </w:rPr>
              <w:t>”</w:t>
            </w:r>
            <w:r>
              <w:rPr>
                <w:rFonts w:ascii="Times New Roman" w:hAnsi="Times New Roman"/>
                <w:sz w:val="24"/>
              </w:rPr>
              <w:t>提供了新动能，也是未来价值弹性的重要来源。</w:t>
            </w:r>
          </w:p>
          <w:p w:rsidR="00C143A4" w:rsidRDefault="00B67BD8">
            <w:pPr>
              <w:widowControl/>
              <w:jc w:val="left"/>
              <w:rPr>
                <w:rFonts w:ascii="Times New Roman" w:hAnsi="Times New Roman"/>
                <w:b/>
                <w:bCs/>
                <w:sz w:val="24"/>
              </w:rPr>
            </w:pPr>
            <w:bookmarkStart w:id="3" w:name="_Toc20548"/>
            <w:r>
              <w:rPr>
                <w:rFonts w:ascii="Times New Roman" w:hAnsi="Times New Roman"/>
                <w:sz w:val="24"/>
              </w:rPr>
              <w:t>Q3</w:t>
            </w:r>
            <w:r>
              <w:rPr>
                <w:rFonts w:ascii="Times New Roman" w:hAnsi="Times New Roman"/>
                <w:b/>
                <w:bCs/>
                <w:sz w:val="24"/>
              </w:rPr>
              <w:t>：</w:t>
            </w:r>
            <w:bookmarkEnd w:id="3"/>
            <w:r>
              <w:rPr>
                <w:rFonts w:ascii="Times New Roman" w:hAnsi="Times New Roman"/>
                <w:b/>
                <w:bCs/>
                <w:sz w:val="24"/>
              </w:rPr>
              <w:t>公司海外业务拓展思路，目前取得进展及主要挑战是什么？</w:t>
            </w:r>
          </w:p>
          <w:p w:rsidR="00C143A4" w:rsidRDefault="00B67BD8">
            <w:pPr>
              <w:rPr>
                <w:rFonts w:ascii="Times New Roman" w:hAnsi="Times New Roman"/>
                <w:sz w:val="24"/>
              </w:rPr>
            </w:pPr>
            <w:r>
              <w:rPr>
                <w:rFonts w:ascii="Times New Roman" w:hAnsi="Times New Roman"/>
                <w:sz w:val="24"/>
              </w:rPr>
              <w:lastRenderedPageBreak/>
              <w:t>A3</w:t>
            </w:r>
            <w:r>
              <w:rPr>
                <w:rFonts w:ascii="Times New Roman" w:hAnsi="Times New Roman"/>
                <w:sz w:val="24"/>
              </w:rPr>
              <w:t>：公司坚持</w:t>
            </w:r>
            <w:r>
              <w:rPr>
                <w:rFonts w:ascii="Times New Roman" w:hAnsi="Times New Roman"/>
                <w:sz w:val="24"/>
              </w:rPr>
              <w:t>“</w:t>
            </w:r>
            <w:r>
              <w:rPr>
                <w:rFonts w:ascii="Times New Roman" w:hAnsi="Times New Roman"/>
                <w:sz w:val="24"/>
              </w:rPr>
              <w:t>聚焦主业、强内拓外</w:t>
            </w:r>
            <w:r>
              <w:rPr>
                <w:rFonts w:ascii="Times New Roman" w:hAnsi="Times New Roman"/>
                <w:sz w:val="24"/>
              </w:rPr>
              <w:t>”</w:t>
            </w:r>
            <w:r>
              <w:rPr>
                <w:rFonts w:ascii="Times New Roman" w:hAnsi="Times New Roman"/>
                <w:sz w:val="24"/>
              </w:rPr>
              <w:t>发展思路，通过内部市场积累海外</w:t>
            </w:r>
            <w:r>
              <w:rPr>
                <w:rFonts w:ascii="Times New Roman" w:hAnsi="Times New Roman"/>
                <w:sz w:val="24"/>
              </w:rPr>
              <w:t>业绩资质，提升国际业务开发能力与项目执行水平，加强外部市场的开发开拓，聚焦重点客户、重点市场，</w:t>
            </w:r>
            <w:proofErr w:type="gramStart"/>
            <w:r>
              <w:rPr>
                <w:rFonts w:ascii="Times New Roman" w:hAnsi="Times New Roman"/>
                <w:sz w:val="24"/>
              </w:rPr>
              <w:t>践行</w:t>
            </w:r>
            <w:proofErr w:type="gramEnd"/>
            <w:r>
              <w:rPr>
                <w:rFonts w:ascii="Times New Roman" w:hAnsi="Times New Roman"/>
                <w:sz w:val="24"/>
              </w:rPr>
              <w:t>产品战略及一体化发展战略。公司海外业务拓展主要受</w:t>
            </w:r>
            <w:r>
              <w:rPr>
                <w:rFonts w:ascii="Times New Roman" w:hAnsi="Times New Roman"/>
                <w:sz w:val="24"/>
              </w:rPr>
              <w:t>“</w:t>
            </w:r>
            <w:r>
              <w:rPr>
                <w:rFonts w:ascii="Times New Roman" w:hAnsi="Times New Roman" w:hint="eastAsia"/>
                <w:sz w:val="24"/>
              </w:rPr>
              <w:t>产品</w:t>
            </w:r>
            <w:r>
              <w:rPr>
                <w:rFonts w:ascii="Times New Roman" w:hAnsi="Times New Roman" w:hint="eastAsia"/>
                <w:sz w:val="24"/>
              </w:rPr>
              <w:t>+</w:t>
            </w:r>
            <w:r>
              <w:rPr>
                <w:rFonts w:ascii="Times New Roman" w:hAnsi="Times New Roman" w:hint="eastAsia"/>
                <w:sz w:val="24"/>
              </w:rPr>
              <w:t>技术”的业务模式与海外本地化要求</w:t>
            </w:r>
            <w:r>
              <w:rPr>
                <w:rFonts w:ascii="Times New Roman" w:hAnsi="Times New Roman"/>
                <w:sz w:val="24"/>
              </w:rPr>
              <w:t>影响，目前正处于</w:t>
            </w:r>
            <w:r>
              <w:rPr>
                <w:rFonts w:ascii="Times New Roman" w:hAnsi="Times New Roman" w:hint="eastAsia"/>
                <w:sz w:val="24"/>
              </w:rPr>
              <w:t>产品海外</w:t>
            </w:r>
            <w:r>
              <w:rPr>
                <w:rFonts w:ascii="Times New Roman" w:hAnsi="Times New Roman"/>
                <w:sz w:val="24"/>
              </w:rPr>
              <w:t>应用与国际化品牌培育阶段，预期未来将随着技术体系广泛应用及成熟的品牌效应带动海外业务进入加速期。</w:t>
            </w:r>
          </w:p>
          <w:p w:rsidR="00C143A4" w:rsidRDefault="00B67BD8">
            <w:pPr>
              <w:widowControl/>
              <w:jc w:val="left"/>
              <w:rPr>
                <w:rFonts w:ascii="Times New Roman" w:hAnsi="Times New Roman"/>
                <w:sz w:val="24"/>
              </w:rPr>
            </w:pPr>
            <w:r>
              <w:rPr>
                <w:rFonts w:ascii="Times New Roman" w:hAnsi="Times New Roman"/>
                <w:sz w:val="24"/>
              </w:rPr>
              <w:t>Q4</w:t>
            </w:r>
            <w:r>
              <w:rPr>
                <w:rFonts w:ascii="Times New Roman" w:hAnsi="Times New Roman"/>
                <w:sz w:val="24"/>
              </w:rPr>
              <w:t>：</w:t>
            </w:r>
            <w:r>
              <w:rPr>
                <w:rFonts w:ascii="Times New Roman" w:hAnsi="Times New Roman"/>
                <w:b/>
                <w:bCs/>
                <w:sz w:val="24"/>
              </w:rPr>
              <w:t>公司与中海油服、海</w:t>
            </w:r>
            <w:proofErr w:type="gramStart"/>
            <w:r>
              <w:rPr>
                <w:rFonts w:ascii="Times New Roman" w:hAnsi="Times New Roman"/>
                <w:b/>
                <w:bCs/>
                <w:sz w:val="24"/>
              </w:rPr>
              <w:t>油工程</w:t>
            </w:r>
            <w:proofErr w:type="gramEnd"/>
            <w:r>
              <w:rPr>
                <w:rFonts w:ascii="Times New Roman" w:hAnsi="Times New Roman"/>
                <w:b/>
                <w:bCs/>
                <w:sz w:val="24"/>
              </w:rPr>
              <w:t>的区别与协同关系是什么？</w:t>
            </w:r>
          </w:p>
          <w:p w:rsidR="00C143A4" w:rsidRDefault="00B67BD8">
            <w:pPr>
              <w:rPr>
                <w:rFonts w:ascii="Times New Roman" w:hAnsi="Times New Roman"/>
                <w:sz w:val="24"/>
              </w:rPr>
            </w:pPr>
            <w:r>
              <w:rPr>
                <w:rFonts w:ascii="Times New Roman" w:hAnsi="Times New Roman"/>
                <w:sz w:val="24"/>
              </w:rPr>
              <w:t>A4</w:t>
            </w:r>
            <w:r>
              <w:rPr>
                <w:rFonts w:ascii="Times New Roman" w:hAnsi="Times New Roman"/>
                <w:sz w:val="24"/>
              </w:rPr>
              <w:t>：中海油三家油田服务公司，围绕油气田开发生产，共同耕耘在各自细分领域，各有侧重、各具特色。</w:t>
            </w:r>
          </w:p>
          <w:p w:rsidR="00C143A4" w:rsidRDefault="00B67BD8">
            <w:pPr>
              <w:rPr>
                <w:rFonts w:ascii="Times New Roman" w:hAnsi="Times New Roman"/>
                <w:sz w:val="24"/>
              </w:rPr>
            </w:pPr>
            <w:r>
              <w:rPr>
                <w:rFonts w:ascii="Times New Roman" w:hAnsi="Times New Roman"/>
                <w:sz w:val="24"/>
              </w:rPr>
              <w:t>相较于中</w:t>
            </w:r>
            <w:proofErr w:type="gramStart"/>
            <w:r>
              <w:rPr>
                <w:rFonts w:ascii="Times New Roman" w:hAnsi="Times New Roman"/>
                <w:sz w:val="24"/>
              </w:rPr>
              <w:t>海油服和</w:t>
            </w:r>
            <w:proofErr w:type="gramEnd"/>
            <w:r>
              <w:rPr>
                <w:rFonts w:ascii="Times New Roman" w:hAnsi="Times New Roman"/>
                <w:sz w:val="24"/>
              </w:rPr>
              <w:t>海油工程，公司业务更加侧重于油田生产</w:t>
            </w:r>
            <w:r>
              <w:rPr>
                <w:rFonts w:ascii="Times New Roman" w:hAnsi="Times New Roman"/>
                <w:sz w:val="24"/>
              </w:rPr>
              <w:t>阶段，以提高采收率为核心，针对在生产油田，提供一系列技术、产品及服务。另外，公司产业链长，业务多元，也让公司更具抗风险性。</w:t>
            </w:r>
          </w:p>
          <w:p w:rsidR="00C143A4" w:rsidRDefault="00B67BD8">
            <w:pPr>
              <w:widowControl/>
              <w:jc w:val="left"/>
              <w:rPr>
                <w:rFonts w:ascii="Times New Roman" w:hAnsi="Times New Roman"/>
                <w:b/>
                <w:bCs/>
                <w:sz w:val="24"/>
              </w:rPr>
            </w:pPr>
            <w:bookmarkStart w:id="4" w:name="_Toc20529"/>
            <w:bookmarkStart w:id="5" w:name="_Toc22609"/>
            <w:r>
              <w:rPr>
                <w:rFonts w:ascii="Times New Roman" w:hAnsi="Times New Roman"/>
                <w:sz w:val="24"/>
              </w:rPr>
              <w:t>Q5</w:t>
            </w:r>
            <w:r>
              <w:rPr>
                <w:rFonts w:ascii="Times New Roman" w:hAnsi="Times New Roman"/>
                <w:sz w:val="24"/>
              </w:rPr>
              <w:t>：</w:t>
            </w:r>
            <w:bookmarkEnd w:id="4"/>
            <w:bookmarkEnd w:id="5"/>
            <w:r>
              <w:rPr>
                <w:rFonts w:ascii="Times New Roman" w:hAnsi="Times New Roman"/>
                <w:b/>
                <w:bCs/>
                <w:sz w:val="24"/>
              </w:rPr>
              <w:t>公司</w:t>
            </w:r>
            <w:r>
              <w:rPr>
                <w:rFonts w:ascii="Times New Roman" w:hAnsi="Times New Roman" w:hint="eastAsia"/>
                <w:b/>
                <w:bCs/>
                <w:sz w:val="24"/>
              </w:rPr>
              <w:t>产业链条长</w:t>
            </w:r>
            <w:proofErr w:type="gramStart"/>
            <w:r>
              <w:rPr>
                <w:rFonts w:ascii="Times New Roman" w:hAnsi="Times New Roman"/>
                <w:b/>
                <w:bCs/>
                <w:sz w:val="24"/>
              </w:rPr>
              <w:t>且专业</w:t>
            </w:r>
            <w:proofErr w:type="gramEnd"/>
            <w:r>
              <w:rPr>
                <w:rFonts w:ascii="Times New Roman" w:hAnsi="Times New Roman"/>
                <w:b/>
                <w:bCs/>
                <w:sz w:val="24"/>
              </w:rPr>
              <w:t>性较强，投资者应如何理解和跟踪？</w:t>
            </w:r>
          </w:p>
          <w:p w:rsidR="00C143A4" w:rsidRDefault="00B67BD8">
            <w:pPr>
              <w:rPr>
                <w:rFonts w:ascii="Times New Roman" w:hAnsi="Times New Roman"/>
                <w:sz w:val="24"/>
              </w:rPr>
            </w:pPr>
            <w:r>
              <w:rPr>
                <w:rFonts w:ascii="Times New Roman" w:hAnsi="Times New Roman"/>
                <w:sz w:val="24"/>
              </w:rPr>
              <w:t>A5</w:t>
            </w:r>
            <w:r>
              <w:rPr>
                <w:rFonts w:ascii="Times New Roman" w:hAnsi="Times New Roman"/>
                <w:sz w:val="24"/>
              </w:rPr>
              <w:t>：公司</w:t>
            </w:r>
            <w:r>
              <w:rPr>
                <w:rFonts w:ascii="Times New Roman" w:hAnsi="Times New Roman" w:hint="eastAsia"/>
                <w:sz w:val="24"/>
              </w:rPr>
              <w:t>致力于</w:t>
            </w:r>
            <w:r>
              <w:rPr>
                <w:rFonts w:ascii="Times New Roman" w:hAnsi="Times New Roman"/>
                <w:sz w:val="24"/>
              </w:rPr>
              <w:t>深化价值传递，</w:t>
            </w:r>
            <w:r>
              <w:rPr>
                <w:rFonts w:ascii="Times New Roman" w:hAnsi="Times New Roman" w:hint="eastAsia"/>
                <w:sz w:val="24"/>
              </w:rPr>
              <w:t>持续提高</w:t>
            </w:r>
            <w:r>
              <w:rPr>
                <w:rFonts w:ascii="Times New Roman" w:hAnsi="Times New Roman"/>
                <w:sz w:val="24"/>
              </w:rPr>
              <w:t>业务</w:t>
            </w:r>
            <w:r>
              <w:rPr>
                <w:rFonts w:ascii="Times New Roman" w:hAnsi="Times New Roman" w:hint="eastAsia"/>
                <w:sz w:val="24"/>
              </w:rPr>
              <w:t>的可理解性</w:t>
            </w:r>
            <w:r>
              <w:rPr>
                <w:rFonts w:ascii="Times New Roman" w:hAnsi="Times New Roman"/>
                <w:sz w:val="24"/>
              </w:rPr>
              <w:t>。将公司三大产业下的业务，按照</w:t>
            </w:r>
            <w:r>
              <w:rPr>
                <w:rFonts w:ascii="Times New Roman" w:hAnsi="Times New Roman"/>
                <w:sz w:val="24"/>
              </w:rPr>
              <w:t>“</w:t>
            </w:r>
            <w:r>
              <w:rPr>
                <w:rFonts w:ascii="Times New Roman" w:hAnsi="Times New Roman"/>
                <w:sz w:val="24"/>
              </w:rPr>
              <w:t>产品</w:t>
            </w:r>
            <w:r>
              <w:rPr>
                <w:rFonts w:ascii="Times New Roman" w:hAnsi="Times New Roman"/>
                <w:sz w:val="24"/>
              </w:rPr>
              <w:t>+</w:t>
            </w:r>
            <w:r>
              <w:rPr>
                <w:rFonts w:ascii="Times New Roman" w:hAnsi="Times New Roman"/>
                <w:sz w:val="24"/>
              </w:rPr>
              <w:t>服务</w:t>
            </w:r>
            <w:r>
              <w:rPr>
                <w:rFonts w:ascii="Times New Roman" w:hAnsi="Times New Roman"/>
                <w:sz w:val="24"/>
              </w:rPr>
              <w:t>”</w:t>
            </w:r>
            <w:r>
              <w:rPr>
                <w:rFonts w:ascii="Times New Roman" w:hAnsi="Times New Roman"/>
                <w:sz w:val="24"/>
              </w:rPr>
              <w:t>、</w:t>
            </w:r>
            <w:r>
              <w:rPr>
                <w:rFonts w:ascii="Times New Roman" w:hAnsi="Times New Roman"/>
                <w:sz w:val="24"/>
              </w:rPr>
              <w:t>“</w:t>
            </w:r>
            <w:r>
              <w:rPr>
                <w:rFonts w:ascii="Times New Roman" w:hAnsi="Times New Roman"/>
                <w:sz w:val="24"/>
              </w:rPr>
              <w:t>低碳数字化</w:t>
            </w:r>
            <w:r>
              <w:rPr>
                <w:rFonts w:ascii="Times New Roman" w:hAnsi="Times New Roman"/>
                <w:sz w:val="24"/>
              </w:rPr>
              <w:t>”</w:t>
            </w:r>
            <w:r>
              <w:rPr>
                <w:rFonts w:ascii="Times New Roman" w:hAnsi="Times New Roman"/>
                <w:sz w:val="24"/>
              </w:rPr>
              <w:t>、</w:t>
            </w:r>
            <w:r>
              <w:rPr>
                <w:rFonts w:ascii="Times New Roman" w:hAnsi="Times New Roman"/>
                <w:sz w:val="24"/>
              </w:rPr>
              <w:t>“</w:t>
            </w:r>
            <w:r>
              <w:rPr>
                <w:rFonts w:ascii="Times New Roman" w:hAnsi="Times New Roman"/>
                <w:sz w:val="24"/>
              </w:rPr>
              <w:t>存量与增量</w:t>
            </w:r>
            <w:r>
              <w:rPr>
                <w:rFonts w:ascii="Times New Roman" w:hAnsi="Times New Roman"/>
                <w:sz w:val="24"/>
              </w:rPr>
              <w:t>”</w:t>
            </w:r>
            <w:r>
              <w:rPr>
                <w:rFonts w:ascii="Times New Roman" w:hAnsi="Times New Roman"/>
                <w:sz w:val="24"/>
              </w:rPr>
              <w:t>等投资者视角进行完善，绘制更直观的业务逻辑图谱和增长传导路径。制作面向不同受众群体的业务指引，进行常态化更新，帮助广大投资者朋友深入理解公司。同时公司也将筹划</w:t>
            </w:r>
            <w:r>
              <w:rPr>
                <w:rFonts w:ascii="Times New Roman" w:hAnsi="Times New Roman"/>
                <w:sz w:val="24"/>
              </w:rPr>
              <w:t>“</w:t>
            </w:r>
            <w:r>
              <w:rPr>
                <w:rFonts w:ascii="Times New Roman" w:hAnsi="Times New Roman"/>
                <w:sz w:val="24"/>
              </w:rPr>
              <w:t>投资者走进上市公司</w:t>
            </w:r>
            <w:r>
              <w:rPr>
                <w:rFonts w:ascii="Times New Roman" w:hAnsi="Times New Roman"/>
                <w:sz w:val="24"/>
              </w:rPr>
              <w:t>”</w:t>
            </w:r>
            <w:r>
              <w:rPr>
                <w:rFonts w:ascii="Times New Roman" w:hAnsi="Times New Roman"/>
                <w:sz w:val="24"/>
              </w:rPr>
              <w:t>反向路演活动，让投资</w:t>
            </w:r>
            <w:r>
              <w:rPr>
                <w:rFonts w:ascii="Times New Roman" w:hAnsi="Times New Roman"/>
                <w:sz w:val="24"/>
              </w:rPr>
              <w:t>者亲身体验公司技术实力与业务场景，弥补仅</w:t>
            </w:r>
            <w:proofErr w:type="gramStart"/>
            <w:r>
              <w:rPr>
                <w:rFonts w:ascii="Times New Roman" w:hAnsi="Times New Roman"/>
                <w:sz w:val="24"/>
              </w:rPr>
              <w:t>靠数据</w:t>
            </w:r>
            <w:proofErr w:type="gramEnd"/>
            <w:r>
              <w:rPr>
                <w:rFonts w:ascii="Times New Roman" w:hAnsi="Times New Roman"/>
                <w:sz w:val="24"/>
              </w:rPr>
              <w:t>反馈进行交流的局限性。</w:t>
            </w:r>
          </w:p>
          <w:p w:rsidR="00C143A4" w:rsidRDefault="00B67BD8">
            <w:pPr>
              <w:widowControl/>
              <w:jc w:val="left"/>
              <w:rPr>
                <w:rFonts w:ascii="Times New Roman" w:hAnsi="Times New Roman"/>
                <w:sz w:val="24"/>
              </w:rPr>
            </w:pPr>
            <w:bookmarkStart w:id="6" w:name="_Toc20140"/>
            <w:r>
              <w:rPr>
                <w:rFonts w:ascii="Times New Roman" w:hAnsi="Times New Roman"/>
                <w:sz w:val="24"/>
              </w:rPr>
              <w:t>Q6</w:t>
            </w:r>
            <w:r>
              <w:rPr>
                <w:rFonts w:ascii="Times New Roman" w:hAnsi="Times New Roman"/>
                <w:sz w:val="24"/>
              </w:rPr>
              <w:t>：</w:t>
            </w:r>
            <w:bookmarkEnd w:id="6"/>
            <w:r>
              <w:rPr>
                <w:rFonts w:ascii="Times New Roman" w:hAnsi="Times New Roman"/>
                <w:b/>
                <w:bCs/>
                <w:sz w:val="24"/>
              </w:rPr>
              <w:t>公司的分红政策是否具有持续性和提升空间？</w:t>
            </w:r>
          </w:p>
          <w:p w:rsidR="00C143A4" w:rsidRDefault="00B67BD8">
            <w:pPr>
              <w:rPr>
                <w:rFonts w:ascii="Times New Roman" w:hAnsi="Times New Roman"/>
                <w:sz w:val="24"/>
              </w:rPr>
            </w:pPr>
            <w:r>
              <w:rPr>
                <w:rFonts w:ascii="Times New Roman" w:hAnsi="Times New Roman"/>
                <w:sz w:val="24"/>
              </w:rPr>
              <w:t>A6</w:t>
            </w:r>
            <w:r>
              <w:rPr>
                <w:rFonts w:ascii="Times New Roman" w:hAnsi="Times New Roman"/>
                <w:sz w:val="24"/>
              </w:rPr>
              <w:t>：公司高度重视股东回报，始终坚持稳定和</w:t>
            </w:r>
            <w:proofErr w:type="gramStart"/>
            <w:r>
              <w:rPr>
                <w:rFonts w:ascii="Times New Roman" w:hAnsi="Times New Roman"/>
                <w:sz w:val="24"/>
              </w:rPr>
              <w:t>可</w:t>
            </w:r>
            <w:proofErr w:type="gramEnd"/>
            <w:r>
              <w:rPr>
                <w:rFonts w:ascii="Times New Roman" w:hAnsi="Times New Roman"/>
                <w:sz w:val="24"/>
              </w:rPr>
              <w:t>持续的现金分红政策。未来，公司将持续保持稳健的股息政策，积极传递市场信心，力争在分红比例、每股股利等方面实现稳定增长。公司也将努力提升经营业绩和经营质量，与股东同享公司发展红利。</w:t>
            </w:r>
          </w:p>
          <w:p w:rsidR="00C143A4" w:rsidRDefault="00B67BD8">
            <w:pPr>
              <w:widowControl/>
              <w:jc w:val="left"/>
              <w:rPr>
                <w:rFonts w:ascii="Times New Roman" w:hAnsi="Times New Roman"/>
                <w:b/>
                <w:bCs/>
                <w:sz w:val="24"/>
              </w:rPr>
            </w:pPr>
            <w:r>
              <w:rPr>
                <w:rFonts w:ascii="Times New Roman" w:hAnsi="Times New Roman"/>
                <w:sz w:val="24"/>
              </w:rPr>
              <w:t>Q7</w:t>
            </w:r>
            <w:r>
              <w:rPr>
                <w:rFonts w:ascii="Times New Roman" w:hAnsi="Times New Roman"/>
                <w:sz w:val="24"/>
              </w:rPr>
              <w:t>：</w:t>
            </w:r>
            <w:r>
              <w:rPr>
                <w:rFonts w:ascii="Times New Roman" w:hAnsi="Times New Roman"/>
                <w:b/>
                <w:bCs/>
                <w:sz w:val="24"/>
              </w:rPr>
              <w:t>油价高位宽幅震荡对公司业绩的影响是怎样的？</w:t>
            </w:r>
          </w:p>
          <w:p w:rsidR="00C143A4" w:rsidRDefault="00B67BD8">
            <w:pPr>
              <w:rPr>
                <w:rFonts w:ascii="Times New Roman" w:hAnsi="Times New Roman"/>
                <w:sz w:val="24"/>
              </w:rPr>
            </w:pPr>
            <w:r>
              <w:rPr>
                <w:rFonts w:ascii="Times New Roman" w:hAnsi="Times New Roman"/>
                <w:sz w:val="24"/>
              </w:rPr>
              <w:t>A7</w:t>
            </w:r>
            <w:r>
              <w:rPr>
                <w:rFonts w:ascii="Times New Roman" w:hAnsi="Times New Roman"/>
                <w:sz w:val="24"/>
              </w:rPr>
              <w:t>：油价波动对公司的影响主要体现在两个方面。首先，是与原油价格关联的化工品销售业务，油价波动直接影响该项业务收入。对此</w:t>
            </w:r>
            <w:r>
              <w:rPr>
                <w:rFonts w:ascii="Times New Roman" w:hAnsi="Times New Roman"/>
                <w:sz w:val="24"/>
              </w:rPr>
              <w:t>，公司强化市场分析与决策支撑，把握出货节奏及销售策略，有效防范存货亏损风险。其次，公司业务侧重于油田生产阶段，对油价波动敏感度相对较低，但在油价长期处于低位时，市场需求存在潜在萎缩。针对此方面，公司坚持以自身发展的确定性来应对外部环境的不确定。聚焦价值创造能力提升，通过提供专业化、定制化、一体化的服务，发挥公司全产业链比较优势。持续开展降本增效，深入推进系统性、结构性降本，全面提高经营质效。同时，</w:t>
            </w:r>
            <w:proofErr w:type="gramStart"/>
            <w:r>
              <w:rPr>
                <w:rFonts w:ascii="Times New Roman" w:hAnsi="Times New Roman"/>
                <w:sz w:val="24"/>
              </w:rPr>
              <w:t>健全拓市增收</w:t>
            </w:r>
            <w:proofErr w:type="gramEnd"/>
            <w:r>
              <w:rPr>
                <w:rFonts w:ascii="Times New Roman" w:hAnsi="Times New Roman"/>
                <w:sz w:val="24"/>
              </w:rPr>
              <w:t>的政策措施，加强品牌建设，开拓业务网络，抓好中海油系统外及海外市场</w:t>
            </w:r>
            <w:proofErr w:type="gramStart"/>
            <w:r>
              <w:rPr>
                <w:rFonts w:ascii="Times New Roman" w:hAnsi="Times New Roman"/>
                <w:sz w:val="24"/>
              </w:rPr>
              <w:t>的拓市攻坚</w:t>
            </w:r>
            <w:proofErr w:type="gramEnd"/>
            <w:r>
              <w:rPr>
                <w:rFonts w:ascii="Times New Roman" w:hAnsi="Times New Roman"/>
                <w:sz w:val="24"/>
              </w:rPr>
              <w:t>。</w:t>
            </w:r>
          </w:p>
          <w:p w:rsidR="00C143A4" w:rsidRDefault="00B67BD8">
            <w:pPr>
              <w:rPr>
                <w:rFonts w:ascii="Times New Roman" w:hAnsi="Times New Roman"/>
                <w:sz w:val="24"/>
              </w:rPr>
            </w:pPr>
            <w:r>
              <w:rPr>
                <w:rFonts w:ascii="Times New Roman" w:hAnsi="Times New Roman"/>
                <w:sz w:val="24"/>
              </w:rPr>
              <w:t>对于公司而言，现阶段</w:t>
            </w:r>
            <w:r>
              <w:rPr>
                <w:rFonts w:ascii="Times New Roman" w:hAnsi="Times New Roman"/>
                <w:sz w:val="24"/>
              </w:rPr>
              <w:t>既是挑战也是机遇，但机遇明显大于挑战。随着海上油气田开发进入中后期，稳产难度增大，为公司</w:t>
            </w:r>
            <w:r>
              <w:rPr>
                <w:rFonts w:ascii="Times New Roman" w:hAnsi="Times New Roman"/>
                <w:sz w:val="24"/>
              </w:rPr>
              <w:lastRenderedPageBreak/>
              <w:t>提高采收率系列产品和技术，提供了更加广阔的应用平台。在全力保障国家能源安全的大背景下，公司能力建设成效将持续释放，助力公司高质量发展</w:t>
            </w:r>
            <w:proofErr w:type="gramStart"/>
            <w:r>
              <w:rPr>
                <w:rFonts w:ascii="Times New Roman" w:hAnsi="Times New Roman"/>
                <w:sz w:val="24"/>
              </w:rPr>
              <w:t>走深走实</w:t>
            </w:r>
            <w:proofErr w:type="gramEnd"/>
            <w:r>
              <w:rPr>
                <w:rFonts w:ascii="Times New Roman" w:hAnsi="Times New Roman"/>
                <w:sz w:val="24"/>
              </w:rPr>
              <w:t>。</w:t>
            </w:r>
          </w:p>
          <w:p w:rsidR="00C143A4" w:rsidRDefault="00B67BD8">
            <w:pPr>
              <w:widowControl/>
              <w:jc w:val="left"/>
              <w:rPr>
                <w:rFonts w:ascii="Times New Roman" w:hAnsi="Times New Roman"/>
                <w:sz w:val="24"/>
              </w:rPr>
            </w:pPr>
            <w:bookmarkStart w:id="7" w:name="_Toc21135"/>
            <w:r>
              <w:rPr>
                <w:rFonts w:ascii="Times New Roman" w:hAnsi="Times New Roman"/>
                <w:sz w:val="24"/>
              </w:rPr>
              <w:t>Q8</w:t>
            </w:r>
            <w:r>
              <w:rPr>
                <w:rFonts w:ascii="Times New Roman" w:hAnsi="Times New Roman"/>
                <w:sz w:val="24"/>
              </w:rPr>
              <w:t>：</w:t>
            </w:r>
            <w:bookmarkEnd w:id="7"/>
            <w:r>
              <w:rPr>
                <w:rStyle w:val="af"/>
                <w:rFonts w:ascii="Times New Roman" w:hAnsi="Times New Roman"/>
                <w:kern w:val="0"/>
                <w:sz w:val="24"/>
                <w:lang w:bidi="ar"/>
              </w:rPr>
              <w:t>近年来公司净利润增速显著高于收入增速的原因？毛利率提升是否可持续？</w:t>
            </w:r>
          </w:p>
          <w:p w:rsidR="00C143A4" w:rsidRDefault="00B67BD8">
            <w:pPr>
              <w:rPr>
                <w:rFonts w:ascii="Times New Roman" w:hAnsi="Times New Roman"/>
                <w:sz w:val="24"/>
              </w:rPr>
            </w:pPr>
            <w:r>
              <w:rPr>
                <w:rFonts w:ascii="Times New Roman" w:hAnsi="Times New Roman"/>
                <w:sz w:val="24"/>
              </w:rPr>
              <w:t>A8</w:t>
            </w:r>
            <w:r>
              <w:rPr>
                <w:rFonts w:ascii="Times New Roman" w:hAnsi="Times New Roman"/>
                <w:sz w:val="24"/>
              </w:rPr>
              <w:t>：</w:t>
            </w:r>
            <w:r>
              <w:rPr>
                <w:rFonts w:ascii="Times New Roman" w:hAnsi="Times New Roman" w:hint="eastAsia"/>
                <w:sz w:val="24"/>
              </w:rPr>
              <w:t>近年来，</w:t>
            </w:r>
            <w:r>
              <w:rPr>
                <w:rFonts w:ascii="Times New Roman" w:hAnsi="Times New Roman"/>
                <w:sz w:val="24"/>
              </w:rPr>
              <w:t>公司聚力提升产业发展质量，</w:t>
            </w:r>
            <w:r>
              <w:rPr>
                <w:rFonts w:ascii="Times New Roman" w:hAnsi="Times New Roman" w:hint="eastAsia"/>
                <w:sz w:val="24"/>
              </w:rPr>
              <w:t>打造自主拳头产品。</w:t>
            </w:r>
            <w:r>
              <w:rPr>
                <w:rFonts w:ascii="Times New Roman" w:hAnsi="Times New Roman"/>
                <w:sz w:val="24"/>
              </w:rPr>
              <w:t>通过技术创新</w:t>
            </w:r>
            <w:r>
              <w:rPr>
                <w:rFonts w:ascii="Times New Roman" w:hAnsi="Times New Roman" w:hint="eastAsia"/>
                <w:sz w:val="24"/>
              </w:rPr>
              <w:t>，</w:t>
            </w:r>
            <w:r>
              <w:rPr>
                <w:rFonts w:ascii="Times New Roman" w:hAnsi="Times New Roman"/>
                <w:sz w:val="24"/>
              </w:rPr>
              <w:t>促进高附加值业务占</w:t>
            </w:r>
            <w:proofErr w:type="gramStart"/>
            <w:r>
              <w:rPr>
                <w:rFonts w:ascii="Times New Roman" w:hAnsi="Times New Roman"/>
                <w:sz w:val="24"/>
              </w:rPr>
              <w:t>比持续</w:t>
            </w:r>
            <w:proofErr w:type="gramEnd"/>
            <w:r>
              <w:rPr>
                <w:rFonts w:ascii="Times New Roman" w:hAnsi="Times New Roman"/>
                <w:sz w:val="24"/>
              </w:rPr>
              <w:t>提升。同时，为提高产业韧性，公司有序退出部分低效微利业务，推动公司资源更加聚焦投入到优势主业，提高成本投入产出效率。此外，公司坚定</w:t>
            </w:r>
            <w:proofErr w:type="gramStart"/>
            <w:r>
              <w:rPr>
                <w:rFonts w:ascii="Times New Roman" w:hAnsi="Times New Roman"/>
                <w:sz w:val="24"/>
              </w:rPr>
              <w:t>践行</w:t>
            </w:r>
            <w:proofErr w:type="gramEnd"/>
            <w:r>
              <w:rPr>
                <w:rFonts w:ascii="Times New Roman" w:hAnsi="Times New Roman"/>
                <w:sz w:val="24"/>
              </w:rPr>
              <w:t>成本领先战略，将</w:t>
            </w:r>
            <w:r>
              <w:rPr>
                <w:rFonts w:ascii="Times New Roman" w:hAnsi="Times New Roman"/>
                <w:sz w:val="24"/>
              </w:rPr>
              <w:t>“</w:t>
            </w:r>
            <w:r>
              <w:rPr>
                <w:rFonts w:ascii="Times New Roman" w:hAnsi="Times New Roman"/>
                <w:sz w:val="24"/>
              </w:rPr>
              <w:t>一切成本皆可降</w:t>
            </w:r>
            <w:r>
              <w:rPr>
                <w:rFonts w:ascii="Times New Roman" w:hAnsi="Times New Roman"/>
                <w:sz w:val="24"/>
              </w:rPr>
              <w:t>”</w:t>
            </w:r>
            <w:r>
              <w:rPr>
                <w:rFonts w:ascii="Times New Roman" w:hAnsi="Times New Roman"/>
                <w:sz w:val="24"/>
              </w:rPr>
              <w:t>的理念深植于运营管理各环节，持续推动降本增效工作向更广领域、更深层次迈进，不断强化自身服务与产品的市场竞争优势。</w:t>
            </w:r>
          </w:p>
          <w:p w:rsidR="00C143A4" w:rsidRDefault="00B67BD8">
            <w:pPr>
              <w:jc w:val="left"/>
              <w:rPr>
                <w:rFonts w:ascii="Times New Roman" w:hAnsi="Times New Roman"/>
                <w:sz w:val="24"/>
              </w:rPr>
            </w:pPr>
            <w:r>
              <w:rPr>
                <w:rFonts w:ascii="Times New Roman" w:hAnsi="Times New Roman"/>
                <w:sz w:val="24"/>
              </w:rPr>
              <w:t>公司</w:t>
            </w:r>
            <w:r>
              <w:rPr>
                <w:rFonts w:ascii="Times New Roman" w:hAnsi="Times New Roman" w:hint="eastAsia"/>
                <w:sz w:val="24"/>
              </w:rPr>
              <w:t>将长期</w:t>
            </w:r>
            <w:r>
              <w:rPr>
                <w:rFonts w:ascii="Times New Roman" w:hAnsi="Times New Roman"/>
                <w:sz w:val="24"/>
              </w:rPr>
              <w:t>坚持技术引领，随着自主研发的高毛利产品和服务占比不断提高，毛利率具备</w:t>
            </w:r>
            <w:r>
              <w:rPr>
                <w:rFonts w:ascii="Times New Roman" w:hAnsi="Times New Roman" w:hint="eastAsia"/>
                <w:sz w:val="24"/>
              </w:rPr>
              <w:t>进一步</w:t>
            </w:r>
            <w:r>
              <w:rPr>
                <w:rFonts w:ascii="Times New Roman" w:hAnsi="Times New Roman"/>
                <w:sz w:val="24"/>
              </w:rPr>
              <w:t>优化空间。</w:t>
            </w:r>
          </w:p>
          <w:p w:rsidR="00C143A4" w:rsidRDefault="00B67BD8">
            <w:pPr>
              <w:widowControl/>
              <w:jc w:val="left"/>
              <w:rPr>
                <w:rFonts w:ascii="Times New Roman" w:hAnsi="Times New Roman"/>
                <w:b/>
                <w:bCs/>
                <w:sz w:val="24"/>
              </w:rPr>
            </w:pPr>
            <w:r>
              <w:rPr>
                <w:rFonts w:ascii="Times New Roman" w:hAnsi="Times New Roman"/>
                <w:sz w:val="24"/>
              </w:rPr>
              <w:t>Q9</w:t>
            </w:r>
            <w:r>
              <w:rPr>
                <w:rFonts w:ascii="Times New Roman" w:hAnsi="Times New Roman"/>
                <w:sz w:val="24"/>
              </w:rPr>
              <w:t>：</w:t>
            </w:r>
            <w:r>
              <w:rPr>
                <w:rFonts w:ascii="Times New Roman" w:hAnsi="Times New Roman"/>
                <w:b/>
                <w:bCs/>
                <w:sz w:val="24"/>
              </w:rPr>
              <w:t>公司</w:t>
            </w:r>
            <w:r>
              <w:rPr>
                <w:rFonts w:ascii="Times New Roman" w:hAnsi="Times New Roman"/>
                <w:b/>
                <w:bCs/>
                <w:sz w:val="24"/>
              </w:rPr>
              <w:t>“</w:t>
            </w:r>
            <w:r>
              <w:rPr>
                <w:rFonts w:ascii="Times New Roman" w:hAnsi="Times New Roman"/>
                <w:b/>
                <w:bCs/>
                <w:sz w:val="24"/>
              </w:rPr>
              <w:t>十五五</w:t>
            </w:r>
            <w:r>
              <w:rPr>
                <w:rFonts w:ascii="Times New Roman" w:hAnsi="Times New Roman"/>
                <w:b/>
                <w:bCs/>
                <w:sz w:val="24"/>
              </w:rPr>
              <w:t>”</w:t>
            </w:r>
            <w:r>
              <w:rPr>
                <w:rFonts w:ascii="Times New Roman" w:hAnsi="Times New Roman"/>
                <w:b/>
                <w:bCs/>
                <w:sz w:val="24"/>
              </w:rPr>
              <w:t>期间资本开支计划是怎样的？</w:t>
            </w:r>
          </w:p>
          <w:p w:rsidR="00C143A4" w:rsidRDefault="00B67BD8">
            <w:pPr>
              <w:rPr>
                <w:rFonts w:ascii="Times New Roman" w:hAnsi="Times New Roman"/>
                <w:sz w:val="24"/>
              </w:rPr>
            </w:pPr>
            <w:r>
              <w:rPr>
                <w:rFonts w:ascii="Times New Roman" w:hAnsi="Times New Roman"/>
                <w:sz w:val="24"/>
              </w:rPr>
              <w:t>A9</w:t>
            </w:r>
            <w:r>
              <w:rPr>
                <w:rFonts w:ascii="Times New Roman" w:hAnsi="Times New Roman"/>
                <w:sz w:val="24"/>
              </w:rPr>
              <w:t>：目前，公司</w:t>
            </w:r>
            <w:r>
              <w:rPr>
                <w:rFonts w:ascii="Times New Roman" w:hAnsi="Times New Roman"/>
                <w:sz w:val="24"/>
              </w:rPr>
              <w:t>“</w:t>
            </w:r>
            <w:r>
              <w:rPr>
                <w:rFonts w:ascii="Times New Roman" w:hAnsi="Times New Roman"/>
                <w:sz w:val="24"/>
              </w:rPr>
              <w:t>十五五</w:t>
            </w:r>
            <w:r>
              <w:rPr>
                <w:rFonts w:ascii="Times New Roman" w:hAnsi="Times New Roman"/>
                <w:sz w:val="24"/>
              </w:rPr>
              <w:t>”</w:t>
            </w:r>
            <w:r>
              <w:rPr>
                <w:rFonts w:ascii="Times New Roman" w:hAnsi="Times New Roman"/>
                <w:sz w:val="24"/>
              </w:rPr>
              <w:t>规划</w:t>
            </w:r>
            <w:r>
              <w:rPr>
                <w:rFonts w:ascii="Times New Roman" w:hAnsi="Times New Roman" w:hint="eastAsia"/>
                <w:sz w:val="24"/>
              </w:rPr>
              <w:t>正处于编制完善阶段</w:t>
            </w:r>
            <w:r>
              <w:rPr>
                <w:rFonts w:ascii="Times New Roman" w:hAnsi="Times New Roman"/>
                <w:sz w:val="24"/>
              </w:rPr>
              <w:t>，</w:t>
            </w:r>
            <w:r>
              <w:rPr>
                <w:rFonts w:ascii="Times New Roman" w:hAnsi="Times New Roman" w:hint="eastAsia"/>
                <w:sz w:val="24"/>
              </w:rPr>
              <w:t>会进一步论证和优化。</w:t>
            </w:r>
            <w:r>
              <w:rPr>
                <w:rFonts w:ascii="Times New Roman" w:hAnsi="Times New Roman"/>
                <w:sz w:val="24"/>
              </w:rPr>
              <w:t>无论最终规划如何</w:t>
            </w:r>
            <w:r>
              <w:rPr>
                <w:rFonts w:ascii="Times New Roman" w:hAnsi="Times New Roman" w:hint="eastAsia"/>
                <w:sz w:val="24"/>
              </w:rPr>
              <w:t>，</w:t>
            </w:r>
            <w:r>
              <w:rPr>
                <w:rFonts w:ascii="Times New Roman" w:hAnsi="Times New Roman"/>
                <w:sz w:val="24"/>
              </w:rPr>
              <w:t>所有投资都将严格</w:t>
            </w:r>
            <w:r>
              <w:rPr>
                <w:rFonts w:ascii="Times New Roman" w:hAnsi="Times New Roman" w:hint="eastAsia"/>
                <w:sz w:val="24"/>
              </w:rPr>
              <w:t>服务公司长期高质量发展</w:t>
            </w:r>
            <w:r>
              <w:rPr>
                <w:rFonts w:ascii="Times New Roman" w:hAnsi="Times New Roman"/>
                <w:sz w:val="24"/>
              </w:rPr>
              <w:t>，确保运营持续，现金流安全。</w:t>
            </w:r>
          </w:p>
          <w:p w:rsidR="00C143A4" w:rsidRDefault="00B67BD8">
            <w:pPr>
              <w:widowControl/>
              <w:jc w:val="left"/>
              <w:rPr>
                <w:rFonts w:ascii="Times New Roman" w:hAnsi="Times New Roman"/>
                <w:sz w:val="24"/>
              </w:rPr>
            </w:pPr>
            <w:r>
              <w:rPr>
                <w:rFonts w:ascii="Times New Roman" w:hAnsi="Times New Roman"/>
                <w:sz w:val="24"/>
              </w:rPr>
              <w:t>Q10</w:t>
            </w:r>
            <w:r>
              <w:rPr>
                <w:rFonts w:ascii="Times New Roman" w:hAnsi="Times New Roman"/>
                <w:sz w:val="24"/>
              </w:rPr>
              <w:t>：</w:t>
            </w:r>
            <w:r>
              <w:rPr>
                <w:rFonts w:ascii="Times New Roman" w:hAnsi="Times New Roman"/>
                <w:b/>
                <w:bCs/>
                <w:sz w:val="24"/>
              </w:rPr>
              <w:t>公司货币资金</w:t>
            </w:r>
            <w:r>
              <w:rPr>
                <w:rFonts w:ascii="Times New Roman" w:hAnsi="Times New Roman"/>
                <w:b/>
                <w:bCs/>
                <w:sz w:val="24"/>
              </w:rPr>
              <w:t>86.12</w:t>
            </w:r>
            <w:r>
              <w:rPr>
                <w:rFonts w:ascii="Times New Roman" w:hAnsi="Times New Roman"/>
                <w:b/>
                <w:bCs/>
                <w:sz w:val="24"/>
              </w:rPr>
              <w:t>亿，长期借款</w:t>
            </w:r>
            <w:r>
              <w:rPr>
                <w:rFonts w:ascii="Times New Roman" w:hAnsi="Times New Roman"/>
                <w:b/>
                <w:bCs/>
                <w:sz w:val="24"/>
              </w:rPr>
              <w:t>23.61</w:t>
            </w:r>
            <w:r>
              <w:rPr>
                <w:rFonts w:ascii="Times New Roman" w:hAnsi="Times New Roman"/>
                <w:b/>
                <w:bCs/>
                <w:sz w:val="24"/>
              </w:rPr>
              <w:t>亿。请问一下，公司出于什么考虑，在货币资金这么充足的情况下，还存在大额的长期贷款？</w:t>
            </w:r>
          </w:p>
          <w:p w:rsidR="00C143A4" w:rsidRDefault="00B67BD8">
            <w:pPr>
              <w:rPr>
                <w:rFonts w:ascii="Times New Roman" w:hAnsi="Times New Roman"/>
                <w:sz w:val="24"/>
              </w:rPr>
            </w:pPr>
            <w:r>
              <w:rPr>
                <w:rFonts w:ascii="Times New Roman" w:hAnsi="Times New Roman"/>
                <w:sz w:val="24"/>
              </w:rPr>
              <w:t>A10</w:t>
            </w:r>
            <w:r>
              <w:rPr>
                <w:rFonts w:ascii="Times New Roman" w:hAnsi="Times New Roman"/>
                <w:sz w:val="24"/>
              </w:rPr>
              <w:t>：结合公司经营战略，我从资金用途匹配、成本优化、经营安全储备三个维度，说明公司货币资金充足情况下仍保留长期借款的</w:t>
            </w:r>
            <w:proofErr w:type="gramStart"/>
            <w:r>
              <w:rPr>
                <w:rFonts w:ascii="Times New Roman" w:hAnsi="Times New Roman"/>
                <w:sz w:val="24"/>
              </w:rPr>
              <w:t>考量</w:t>
            </w:r>
            <w:proofErr w:type="gramEnd"/>
            <w:r>
              <w:rPr>
                <w:rFonts w:ascii="Times New Roman" w:hAnsi="Times New Roman"/>
                <w:sz w:val="24"/>
              </w:rPr>
              <w:t>。一是资金用途的长期匹配与战略布局需求。截至</w:t>
            </w:r>
            <w:r>
              <w:rPr>
                <w:rFonts w:ascii="Times New Roman" w:hAnsi="Times New Roman"/>
                <w:sz w:val="24"/>
              </w:rPr>
              <w:t>2025</w:t>
            </w:r>
            <w:r>
              <w:rPr>
                <w:rFonts w:ascii="Times New Roman" w:hAnsi="Times New Roman"/>
                <w:sz w:val="24"/>
              </w:rPr>
              <w:t>年末，公司长期借款共计</w:t>
            </w:r>
            <w:r>
              <w:rPr>
                <w:rFonts w:ascii="Times New Roman" w:hAnsi="Times New Roman"/>
                <w:sz w:val="24"/>
              </w:rPr>
              <w:t>23.61</w:t>
            </w:r>
            <w:r>
              <w:rPr>
                <w:rFonts w:ascii="Times New Roman" w:hAnsi="Times New Roman"/>
                <w:sz w:val="24"/>
              </w:rPr>
              <w:t>亿元，主要用于支持海洋装备智能制造基地建设、基础平台等长期资产投</w:t>
            </w:r>
            <w:r>
              <w:rPr>
                <w:rFonts w:ascii="Times New Roman" w:hAnsi="Times New Roman"/>
                <w:sz w:val="24"/>
              </w:rPr>
              <w:t>入。这些项目需要长期稳定的资金支持，通过长期借款可避免短期资金波动对项目推进的影响，确保战略布局的连续性。二是降低综合资金成本，提升资本使用效率。</w:t>
            </w:r>
            <w:r>
              <w:rPr>
                <w:rFonts w:ascii="Times New Roman" w:hAnsi="Times New Roman"/>
                <w:sz w:val="24"/>
              </w:rPr>
              <w:t>2025</w:t>
            </w:r>
            <w:r>
              <w:rPr>
                <w:rFonts w:ascii="Times New Roman" w:hAnsi="Times New Roman"/>
                <w:sz w:val="24"/>
              </w:rPr>
              <w:t>年公司长期借款利率处于行业较低水平，且期限集中在</w:t>
            </w:r>
            <w:r>
              <w:rPr>
                <w:rFonts w:ascii="Times New Roman" w:hAnsi="Times New Roman"/>
                <w:sz w:val="24"/>
              </w:rPr>
              <w:t>10</w:t>
            </w:r>
            <w:r>
              <w:rPr>
                <w:rFonts w:ascii="Times New Roman" w:hAnsi="Times New Roman"/>
                <w:sz w:val="24"/>
              </w:rPr>
              <w:t>年以上，通过锁定长期低成本资金，可有效对</w:t>
            </w:r>
            <w:proofErr w:type="gramStart"/>
            <w:r>
              <w:rPr>
                <w:rFonts w:ascii="Times New Roman" w:hAnsi="Times New Roman"/>
                <w:sz w:val="24"/>
              </w:rPr>
              <w:t>冲未来</w:t>
            </w:r>
            <w:proofErr w:type="gramEnd"/>
            <w:r>
              <w:rPr>
                <w:rFonts w:ascii="Times New Roman" w:hAnsi="Times New Roman"/>
                <w:sz w:val="24"/>
              </w:rPr>
              <w:t>利率波动风险。三是构建稳健的财务结构，抵御行业周期波动。油气行业受国际油价、地缘政治等外部因素影响较大，保留充足货币资金可在不同周期保障核心项目持续投入、抵御营收波动带来的现金流压力。</w:t>
            </w:r>
            <w:r>
              <w:rPr>
                <w:rFonts w:ascii="Times New Roman" w:hAnsi="Times New Roman"/>
                <w:sz w:val="24"/>
              </w:rPr>
              <w:t>2026</w:t>
            </w:r>
            <w:r>
              <w:rPr>
                <w:rFonts w:ascii="Times New Roman" w:hAnsi="Times New Roman"/>
                <w:sz w:val="24"/>
              </w:rPr>
              <w:t>年，公司将继续优化资金配置，根据项目推进节奏与市场利率变化，动态调整</w:t>
            </w:r>
            <w:r>
              <w:rPr>
                <w:rFonts w:ascii="Times New Roman" w:hAnsi="Times New Roman"/>
                <w:sz w:val="24"/>
              </w:rPr>
              <w:t>长期借款规模与货币资金使用效率，</w:t>
            </w:r>
            <w:r>
              <w:rPr>
                <w:rFonts w:ascii="Times New Roman" w:hAnsi="Times New Roman" w:hint="eastAsia"/>
                <w:sz w:val="24"/>
              </w:rPr>
              <w:t>力求</w:t>
            </w:r>
            <w:r>
              <w:rPr>
                <w:rFonts w:ascii="Times New Roman" w:hAnsi="Times New Roman"/>
                <w:sz w:val="24"/>
              </w:rPr>
              <w:t>资本回报最大化。</w:t>
            </w:r>
          </w:p>
          <w:p w:rsidR="00C143A4" w:rsidRDefault="00B67BD8">
            <w:pPr>
              <w:widowControl/>
              <w:jc w:val="left"/>
              <w:rPr>
                <w:rFonts w:ascii="Times New Roman" w:hAnsi="Times New Roman"/>
                <w:sz w:val="24"/>
              </w:rPr>
            </w:pPr>
            <w:bookmarkStart w:id="8" w:name="_Toc19691"/>
            <w:r>
              <w:rPr>
                <w:rFonts w:ascii="Times New Roman" w:hAnsi="Times New Roman"/>
                <w:sz w:val="24"/>
              </w:rPr>
              <w:t>Q11</w:t>
            </w:r>
            <w:r>
              <w:rPr>
                <w:rFonts w:ascii="Times New Roman" w:hAnsi="Times New Roman"/>
                <w:sz w:val="24"/>
              </w:rPr>
              <w:t>：</w:t>
            </w:r>
            <w:bookmarkEnd w:id="8"/>
            <w:r>
              <w:rPr>
                <w:rFonts w:ascii="Times New Roman" w:hAnsi="Times New Roman"/>
                <w:b/>
                <w:bCs/>
                <w:sz w:val="24"/>
              </w:rPr>
              <w:t>公司燃气轮机相关业务的现状与市场前景如何？</w:t>
            </w:r>
          </w:p>
          <w:p w:rsidR="00C143A4" w:rsidRDefault="00B67BD8">
            <w:pPr>
              <w:rPr>
                <w:rFonts w:ascii="Times New Roman" w:hAnsi="Times New Roman"/>
                <w:sz w:val="24"/>
              </w:rPr>
            </w:pPr>
            <w:r>
              <w:rPr>
                <w:rFonts w:ascii="Times New Roman" w:hAnsi="Times New Roman"/>
                <w:sz w:val="24"/>
              </w:rPr>
              <w:t>A11</w:t>
            </w:r>
            <w:r>
              <w:rPr>
                <w:rFonts w:ascii="Times New Roman" w:hAnsi="Times New Roman"/>
                <w:sz w:val="24"/>
              </w:rPr>
              <w:t>：公司燃气轮机相关业务属于能源技术服务产业装备制造维修业务</w:t>
            </w:r>
            <w:r>
              <w:rPr>
                <w:rFonts w:ascii="Times New Roman" w:hAnsi="Times New Roman" w:hint="eastAsia"/>
                <w:sz w:val="24"/>
              </w:rPr>
              <w:t>，是公司重点核心能力建设方向</w:t>
            </w:r>
            <w:r>
              <w:rPr>
                <w:rFonts w:ascii="Times New Roman" w:hAnsi="Times New Roman"/>
                <w:sz w:val="24"/>
              </w:rPr>
              <w:t>。目前，公司已具备海上主流进口机型自主维修能力，备品备件国产化持续完善。公司与国内相关领域主流公司达成业务合作，共同研发系列产品，</w:t>
            </w:r>
            <w:r>
              <w:rPr>
                <w:rFonts w:ascii="Times New Roman" w:hAnsi="Times New Roman" w:hint="eastAsia"/>
                <w:sz w:val="24"/>
              </w:rPr>
              <w:t>并</w:t>
            </w:r>
            <w:r>
              <w:rPr>
                <w:rFonts w:ascii="Times New Roman" w:hAnsi="Times New Roman"/>
                <w:sz w:val="24"/>
              </w:rPr>
              <w:t>已</w:t>
            </w:r>
            <w:r>
              <w:rPr>
                <w:rFonts w:ascii="Times New Roman" w:hAnsi="Times New Roman" w:hint="eastAsia"/>
                <w:sz w:val="24"/>
              </w:rPr>
              <w:t>实现</w:t>
            </w:r>
            <w:r>
              <w:rPr>
                <w:rFonts w:ascii="Times New Roman" w:hAnsi="Times New Roman"/>
                <w:sz w:val="24"/>
              </w:rPr>
              <w:t>交付。自主化燃气轮机产品在国内、国外均有市场需求，市场潜力较大。</w:t>
            </w:r>
          </w:p>
          <w:p w:rsidR="00C143A4" w:rsidRDefault="00B67BD8">
            <w:pPr>
              <w:rPr>
                <w:rFonts w:ascii="Times New Roman" w:hAnsi="Times New Roman"/>
                <w:b/>
                <w:bCs/>
                <w:sz w:val="24"/>
              </w:rPr>
            </w:pPr>
            <w:r>
              <w:rPr>
                <w:rFonts w:ascii="Times New Roman" w:hAnsi="Times New Roman"/>
                <w:sz w:val="24"/>
              </w:rPr>
              <w:t>Q12</w:t>
            </w:r>
            <w:r>
              <w:rPr>
                <w:rFonts w:ascii="Times New Roman" w:hAnsi="Times New Roman"/>
                <w:sz w:val="24"/>
              </w:rPr>
              <w:t>：</w:t>
            </w:r>
            <w:r>
              <w:rPr>
                <w:rFonts w:ascii="Times New Roman" w:hAnsi="Times New Roman"/>
                <w:b/>
                <w:bCs/>
                <w:sz w:val="24"/>
              </w:rPr>
              <w:t>公司</w:t>
            </w:r>
            <w:r>
              <w:rPr>
                <w:rFonts w:ascii="Times New Roman" w:hAnsi="Times New Roman"/>
                <w:b/>
                <w:bCs/>
                <w:sz w:val="24"/>
              </w:rPr>
              <w:t>8</w:t>
            </w:r>
            <w:r>
              <w:rPr>
                <w:rFonts w:ascii="Times New Roman" w:hAnsi="Times New Roman"/>
                <w:b/>
                <w:bCs/>
                <w:sz w:val="24"/>
              </w:rPr>
              <w:t>艘在建</w:t>
            </w:r>
            <w:r>
              <w:rPr>
                <w:rFonts w:ascii="Times New Roman" w:hAnsi="Times New Roman"/>
                <w:b/>
                <w:bCs/>
                <w:sz w:val="24"/>
              </w:rPr>
              <w:t>LNG</w:t>
            </w:r>
            <w:r>
              <w:rPr>
                <w:rFonts w:ascii="Times New Roman" w:hAnsi="Times New Roman"/>
                <w:b/>
                <w:bCs/>
                <w:sz w:val="24"/>
              </w:rPr>
              <w:t>运输船在</w:t>
            </w:r>
            <w:r>
              <w:rPr>
                <w:rFonts w:ascii="Times New Roman" w:hAnsi="Times New Roman"/>
                <w:b/>
                <w:bCs/>
                <w:sz w:val="24"/>
              </w:rPr>
              <w:t>2026</w:t>
            </w:r>
            <w:r>
              <w:rPr>
                <w:rFonts w:ascii="Times New Roman" w:hAnsi="Times New Roman"/>
                <w:b/>
                <w:bCs/>
                <w:sz w:val="24"/>
              </w:rPr>
              <w:t>至</w:t>
            </w:r>
            <w:r>
              <w:rPr>
                <w:rFonts w:ascii="Times New Roman" w:hAnsi="Times New Roman"/>
                <w:b/>
                <w:bCs/>
                <w:sz w:val="24"/>
              </w:rPr>
              <w:t>2027</w:t>
            </w:r>
            <w:r>
              <w:rPr>
                <w:rFonts w:ascii="Times New Roman" w:hAnsi="Times New Roman"/>
                <w:b/>
                <w:bCs/>
                <w:sz w:val="24"/>
              </w:rPr>
              <w:t>年的交付节</w:t>
            </w:r>
            <w:r>
              <w:rPr>
                <w:rFonts w:ascii="Times New Roman" w:hAnsi="Times New Roman"/>
                <w:b/>
                <w:bCs/>
                <w:sz w:val="24"/>
              </w:rPr>
              <w:lastRenderedPageBreak/>
              <w:t>奏安排是怎样的？</w:t>
            </w:r>
            <w:r>
              <w:rPr>
                <w:rFonts w:ascii="Times New Roman" w:hAnsi="Times New Roman"/>
                <w:b/>
                <w:bCs/>
                <w:sz w:val="24"/>
              </w:rPr>
              <w:t>LNG</w:t>
            </w:r>
            <w:r>
              <w:rPr>
                <w:rFonts w:ascii="Times New Roman" w:hAnsi="Times New Roman"/>
                <w:b/>
                <w:bCs/>
                <w:sz w:val="24"/>
              </w:rPr>
              <w:t>运输船未来预期是怎样的？</w:t>
            </w:r>
          </w:p>
          <w:p w:rsidR="00C143A4" w:rsidRDefault="00B67BD8">
            <w:pPr>
              <w:rPr>
                <w:rFonts w:ascii="Times New Roman" w:hAnsi="Times New Roman"/>
                <w:b/>
                <w:bCs/>
                <w:sz w:val="24"/>
                <w:szCs w:val="32"/>
              </w:rPr>
            </w:pPr>
            <w:r>
              <w:rPr>
                <w:rFonts w:ascii="Times New Roman" w:hAnsi="Times New Roman"/>
                <w:sz w:val="24"/>
              </w:rPr>
              <w:t>A12</w:t>
            </w:r>
            <w:r>
              <w:rPr>
                <w:rFonts w:ascii="Times New Roman" w:hAnsi="Times New Roman"/>
                <w:sz w:val="24"/>
              </w:rPr>
              <w:t>：公司顺利推进我国最大规模</w:t>
            </w:r>
            <w:r>
              <w:rPr>
                <w:rFonts w:ascii="Times New Roman" w:hAnsi="Times New Roman"/>
                <w:sz w:val="24"/>
              </w:rPr>
              <w:t>LNG</w:t>
            </w:r>
            <w:r>
              <w:rPr>
                <w:rFonts w:ascii="Times New Roman" w:hAnsi="Times New Roman"/>
                <w:sz w:val="24"/>
              </w:rPr>
              <w:t>运输船建造项目，</w:t>
            </w:r>
            <w:r>
              <w:rPr>
                <w:rFonts w:ascii="Times New Roman" w:hAnsi="Times New Roman"/>
                <w:sz w:val="24"/>
              </w:rPr>
              <w:t>2024</w:t>
            </w:r>
            <w:r>
              <w:rPr>
                <w:rFonts w:ascii="Times New Roman" w:hAnsi="Times New Roman"/>
                <w:sz w:val="24"/>
              </w:rPr>
              <w:t>年和</w:t>
            </w:r>
            <w:r>
              <w:rPr>
                <w:rFonts w:ascii="Times New Roman" w:hAnsi="Times New Roman"/>
                <w:sz w:val="24"/>
              </w:rPr>
              <w:t>2025</w:t>
            </w:r>
            <w:r>
              <w:rPr>
                <w:rFonts w:ascii="Times New Roman" w:hAnsi="Times New Roman"/>
                <w:sz w:val="24"/>
              </w:rPr>
              <w:t>年已分别投运</w:t>
            </w:r>
            <w:r>
              <w:rPr>
                <w:rFonts w:ascii="Times New Roman" w:hAnsi="Times New Roman"/>
                <w:sz w:val="24"/>
              </w:rPr>
              <w:t>2</w:t>
            </w:r>
            <w:r>
              <w:rPr>
                <w:rFonts w:ascii="Times New Roman" w:hAnsi="Times New Roman"/>
                <w:sz w:val="24"/>
              </w:rPr>
              <w:t>艘大型</w:t>
            </w:r>
            <w:r>
              <w:rPr>
                <w:rFonts w:ascii="Times New Roman" w:hAnsi="Times New Roman"/>
                <w:sz w:val="24"/>
              </w:rPr>
              <w:t>LNG</w:t>
            </w:r>
            <w:r>
              <w:rPr>
                <w:rFonts w:ascii="Times New Roman" w:hAnsi="Times New Roman"/>
                <w:sz w:val="24"/>
              </w:rPr>
              <w:t>运输船，目前公司持股拥有</w:t>
            </w:r>
            <w:r>
              <w:rPr>
                <w:rFonts w:ascii="Times New Roman" w:hAnsi="Times New Roman"/>
                <w:sz w:val="24"/>
              </w:rPr>
              <w:t>14</w:t>
            </w:r>
            <w:r>
              <w:rPr>
                <w:rFonts w:ascii="Times New Roman" w:hAnsi="Times New Roman"/>
                <w:sz w:val="24"/>
              </w:rPr>
              <w:t>艘在运营的大型</w:t>
            </w:r>
            <w:r>
              <w:rPr>
                <w:rFonts w:ascii="Times New Roman" w:hAnsi="Times New Roman"/>
                <w:sz w:val="24"/>
              </w:rPr>
              <w:t>LNG</w:t>
            </w:r>
            <w:r>
              <w:rPr>
                <w:rFonts w:ascii="Times New Roman" w:hAnsi="Times New Roman"/>
                <w:sz w:val="24"/>
              </w:rPr>
              <w:t>运输船，另有</w:t>
            </w:r>
            <w:r>
              <w:rPr>
                <w:rFonts w:ascii="Times New Roman" w:hAnsi="Times New Roman"/>
                <w:sz w:val="24"/>
              </w:rPr>
              <w:t>8</w:t>
            </w:r>
            <w:r>
              <w:rPr>
                <w:rFonts w:ascii="Times New Roman" w:hAnsi="Times New Roman"/>
                <w:sz w:val="24"/>
              </w:rPr>
              <w:t>艘在建大型</w:t>
            </w:r>
            <w:r>
              <w:rPr>
                <w:rFonts w:ascii="Times New Roman" w:hAnsi="Times New Roman"/>
                <w:sz w:val="24"/>
              </w:rPr>
              <w:t>LNG</w:t>
            </w:r>
            <w:r>
              <w:rPr>
                <w:rFonts w:ascii="Times New Roman" w:hAnsi="Times New Roman"/>
                <w:sz w:val="24"/>
              </w:rPr>
              <w:t>运输船，目前计划</w:t>
            </w:r>
            <w:r>
              <w:rPr>
                <w:rFonts w:ascii="Times New Roman" w:hAnsi="Times New Roman"/>
                <w:sz w:val="24"/>
              </w:rPr>
              <w:t>2026</w:t>
            </w:r>
            <w:r>
              <w:rPr>
                <w:rFonts w:ascii="Times New Roman" w:hAnsi="Times New Roman"/>
                <w:sz w:val="24"/>
              </w:rPr>
              <w:t>年建成交付</w:t>
            </w:r>
            <w:r>
              <w:rPr>
                <w:rFonts w:ascii="Times New Roman" w:hAnsi="Times New Roman"/>
                <w:sz w:val="24"/>
              </w:rPr>
              <w:t>4</w:t>
            </w:r>
            <w:r>
              <w:rPr>
                <w:rFonts w:ascii="Times New Roman" w:hAnsi="Times New Roman"/>
                <w:sz w:val="24"/>
              </w:rPr>
              <w:t>至</w:t>
            </w:r>
            <w:r>
              <w:rPr>
                <w:rFonts w:ascii="Times New Roman" w:hAnsi="Times New Roman"/>
                <w:sz w:val="24"/>
              </w:rPr>
              <w:t>5</w:t>
            </w:r>
            <w:r>
              <w:rPr>
                <w:rFonts w:ascii="Times New Roman" w:hAnsi="Times New Roman"/>
                <w:sz w:val="24"/>
              </w:rPr>
              <w:t>艘，</w:t>
            </w:r>
            <w:r>
              <w:rPr>
                <w:rFonts w:ascii="Times New Roman" w:hAnsi="Times New Roman"/>
                <w:sz w:val="24"/>
              </w:rPr>
              <w:t>2027</w:t>
            </w:r>
            <w:r>
              <w:rPr>
                <w:rFonts w:ascii="Times New Roman" w:hAnsi="Times New Roman"/>
                <w:sz w:val="24"/>
              </w:rPr>
              <w:t>年陆续交付剩余船只。近年来，公司在</w:t>
            </w:r>
            <w:r>
              <w:rPr>
                <w:rFonts w:ascii="Times New Roman" w:hAnsi="Times New Roman"/>
                <w:sz w:val="24"/>
              </w:rPr>
              <w:t>LNG</w:t>
            </w:r>
            <w:r>
              <w:rPr>
                <w:rFonts w:ascii="Times New Roman" w:hAnsi="Times New Roman"/>
                <w:sz w:val="24"/>
              </w:rPr>
              <w:t>服务领域加速布局，随着新船陆续投运，未来将为公司带来稳定的投资收益增量，为公司业绩增长注入新的动能。</w:t>
            </w:r>
          </w:p>
        </w:tc>
      </w:tr>
      <w:tr w:rsidR="00C143A4">
        <w:trPr>
          <w:trHeight w:val="523"/>
        </w:trPr>
        <w:tc>
          <w:tcPr>
            <w:tcW w:w="1142"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360" w:lineRule="auto"/>
              <w:jc w:val="center"/>
              <w:rPr>
                <w:rFonts w:ascii="Times New Roman" w:hAnsi="Times New Roman"/>
                <w:bCs/>
                <w:sz w:val="24"/>
              </w:rPr>
            </w:pPr>
            <w:r>
              <w:rPr>
                <w:rFonts w:ascii="Times New Roman" w:hAnsi="Times New Roman"/>
                <w:bCs/>
                <w:sz w:val="24"/>
              </w:rPr>
              <w:lastRenderedPageBreak/>
              <w:t>附件清单（如有）</w:t>
            </w:r>
          </w:p>
        </w:tc>
        <w:tc>
          <w:tcPr>
            <w:tcW w:w="3857" w:type="pct"/>
            <w:tcBorders>
              <w:top w:val="single" w:sz="4" w:space="0" w:color="auto"/>
              <w:left w:val="single" w:sz="4" w:space="0" w:color="auto"/>
              <w:bottom w:val="single" w:sz="4" w:space="0" w:color="auto"/>
              <w:right w:val="single" w:sz="4" w:space="0" w:color="auto"/>
            </w:tcBorders>
            <w:vAlign w:val="center"/>
          </w:tcPr>
          <w:p w:rsidR="00C143A4" w:rsidRDefault="00C143A4">
            <w:pPr>
              <w:spacing w:line="360" w:lineRule="auto"/>
              <w:rPr>
                <w:rFonts w:ascii="Times New Roman" w:hAnsi="Times New Roman"/>
                <w:bCs/>
                <w:sz w:val="24"/>
              </w:rPr>
            </w:pPr>
          </w:p>
          <w:p w:rsidR="00C143A4" w:rsidRDefault="00C143A4">
            <w:pPr>
              <w:spacing w:line="360" w:lineRule="auto"/>
              <w:rPr>
                <w:rFonts w:ascii="Times New Roman" w:hAnsi="Times New Roman"/>
                <w:bCs/>
                <w:sz w:val="24"/>
              </w:rPr>
            </w:pPr>
          </w:p>
        </w:tc>
      </w:tr>
      <w:tr w:rsidR="00C143A4">
        <w:tc>
          <w:tcPr>
            <w:tcW w:w="1142" w:type="pct"/>
            <w:tcBorders>
              <w:top w:val="single" w:sz="4" w:space="0" w:color="auto"/>
              <w:left w:val="single" w:sz="4" w:space="0" w:color="auto"/>
              <w:bottom w:val="single" w:sz="4" w:space="0" w:color="auto"/>
              <w:right w:val="single" w:sz="4" w:space="0" w:color="auto"/>
            </w:tcBorders>
            <w:vAlign w:val="center"/>
          </w:tcPr>
          <w:p w:rsidR="00C143A4" w:rsidRDefault="00B67BD8">
            <w:pPr>
              <w:spacing w:line="360" w:lineRule="auto"/>
              <w:jc w:val="center"/>
              <w:rPr>
                <w:rFonts w:ascii="Times New Roman" w:hAnsi="Times New Roman"/>
                <w:bCs/>
                <w:sz w:val="24"/>
              </w:rPr>
            </w:pPr>
            <w:r>
              <w:rPr>
                <w:rFonts w:ascii="Times New Roman" w:hAnsi="Times New Roman"/>
                <w:bCs/>
                <w:sz w:val="24"/>
              </w:rPr>
              <w:t>备注</w:t>
            </w:r>
          </w:p>
        </w:tc>
        <w:tc>
          <w:tcPr>
            <w:tcW w:w="3857" w:type="pct"/>
            <w:tcBorders>
              <w:top w:val="single" w:sz="4" w:space="0" w:color="auto"/>
              <w:left w:val="single" w:sz="4" w:space="0" w:color="auto"/>
              <w:bottom w:val="single" w:sz="4" w:space="0" w:color="auto"/>
              <w:right w:val="single" w:sz="4" w:space="0" w:color="auto"/>
            </w:tcBorders>
            <w:vAlign w:val="center"/>
          </w:tcPr>
          <w:p w:rsidR="00C143A4" w:rsidRDefault="00C143A4">
            <w:pPr>
              <w:spacing w:line="360" w:lineRule="auto"/>
              <w:rPr>
                <w:rFonts w:ascii="Times New Roman" w:hAnsi="Times New Roman"/>
                <w:bCs/>
                <w:sz w:val="24"/>
              </w:rPr>
            </w:pPr>
          </w:p>
          <w:p w:rsidR="00C143A4" w:rsidRDefault="00C143A4">
            <w:pPr>
              <w:spacing w:line="360" w:lineRule="auto"/>
              <w:rPr>
                <w:rFonts w:ascii="Times New Roman" w:hAnsi="Times New Roman"/>
                <w:bCs/>
                <w:sz w:val="24"/>
              </w:rPr>
            </w:pPr>
          </w:p>
        </w:tc>
      </w:tr>
    </w:tbl>
    <w:p w:rsidR="00C143A4" w:rsidRDefault="00C143A4">
      <w:pPr>
        <w:spacing w:line="360" w:lineRule="auto"/>
        <w:rPr>
          <w:rFonts w:ascii="Times New Roman" w:hAnsi="Times New Roman"/>
        </w:rPr>
      </w:pPr>
    </w:p>
    <w:sectPr w:rsidR="00C143A4">
      <w:pgSz w:w="11906" w:h="16838"/>
      <w:pgMar w:top="1440" w:right="1701" w:bottom="1327" w:left="170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altName w:val="DejaVu Sans"/>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altName w:val="方正楷体_GBK"/>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6AF"/>
    <w:rsid w:val="A5F38D84"/>
    <w:rsid w:val="E7FDEEF9"/>
    <w:rsid w:val="F9FDACCA"/>
    <w:rsid w:val="00002C11"/>
    <w:rsid w:val="000064E8"/>
    <w:rsid w:val="00014730"/>
    <w:rsid w:val="0001671F"/>
    <w:rsid w:val="000249CF"/>
    <w:rsid w:val="000322B8"/>
    <w:rsid w:val="000514E2"/>
    <w:rsid w:val="00064957"/>
    <w:rsid w:val="0007152A"/>
    <w:rsid w:val="00092E77"/>
    <w:rsid w:val="000959C1"/>
    <w:rsid w:val="00095F49"/>
    <w:rsid w:val="000B2D26"/>
    <w:rsid w:val="000B5A0A"/>
    <w:rsid w:val="000C39CE"/>
    <w:rsid w:val="000C4415"/>
    <w:rsid w:val="000E3B6B"/>
    <w:rsid w:val="000F0D13"/>
    <w:rsid w:val="000F3391"/>
    <w:rsid w:val="000F5F9B"/>
    <w:rsid w:val="00102C7B"/>
    <w:rsid w:val="001041A7"/>
    <w:rsid w:val="00120BE7"/>
    <w:rsid w:val="00131336"/>
    <w:rsid w:val="00133145"/>
    <w:rsid w:val="00133934"/>
    <w:rsid w:val="00145654"/>
    <w:rsid w:val="00145874"/>
    <w:rsid w:val="0015176B"/>
    <w:rsid w:val="00157EEB"/>
    <w:rsid w:val="001640C6"/>
    <w:rsid w:val="00166E1D"/>
    <w:rsid w:val="00172322"/>
    <w:rsid w:val="00196E68"/>
    <w:rsid w:val="001A607F"/>
    <w:rsid w:val="001B5980"/>
    <w:rsid w:val="001C03A8"/>
    <w:rsid w:val="001C3EE5"/>
    <w:rsid w:val="001C5E58"/>
    <w:rsid w:val="001C7FAB"/>
    <w:rsid w:val="001D3E98"/>
    <w:rsid w:val="001E701A"/>
    <w:rsid w:val="001F2BC6"/>
    <w:rsid w:val="001F53CD"/>
    <w:rsid w:val="00201181"/>
    <w:rsid w:val="00202DBA"/>
    <w:rsid w:val="00205C9B"/>
    <w:rsid w:val="002138F3"/>
    <w:rsid w:val="00217AD1"/>
    <w:rsid w:val="002234F1"/>
    <w:rsid w:val="00225F72"/>
    <w:rsid w:val="00231B7C"/>
    <w:rsid w:val="00232F5E"/>
    <w:rsid w:val="00251396"/>
    <w:rsid w:val="00262377"/>
    <w:rsid w:val="00274437"/>
    <w:rsid w:val="002917B0"/>
    <w:rsid w:val="00291A90"/>
    <w:rsid w:val="00295886"/>
    <w:rsid w:val="0029714B"/>
    <w:rsid w:val="002A2354"/>
    <w:rsid w:val="002A7C64"/>
    <w:rsid w:val="002B3178"/>
    <w:rsid w:val="002B4C51"/>
    <w:rsid w:val="002C37B7"/>
    <w:rsid w:val="002D2D15"/>
    <w:rsid w:val="002D7106"/>
    <w:rsid w:val="002D71D3"/>
    <w:rsid w:val="002F08B5"/>
    <w:rsid w:val="002F105B"/>
    <w:rsid w:val="002F1B29"/>
    <w:rsid w:val="002F5019"/>
    <w:rsid w:val="002F57FB"/>
    <w:rsid w:val="003045BD"/>
    <w:rsid w:val="00337B48"/>
    <w:rsid w:val="00375169"/>
    <w:rsid w:val="00381350"/>
    <w:rsid w:val="0038279B"/>
    <w:rsid w:val="0038654F"/>
    <w:rsid w:val="00392023"/>
    <w:rsid w:val="00392EE5"/>
    <w:rsid w:val="00393049"/>
    <w:rsid w:val="003932E8"/>
    <w:rsid w:val="00396048"/>
    <w:rsid w:val="003A38F1"/>
    <w:rsid w:val="003B0A80"/>
    <w:rsid w:val="003B3AAD"/>
    <w:rsid w:val="003C2D07"/>
    <w:rsid w:val="003C3CB2"/>
    <w:rsid w:val="003D4279"/>
    <w:rsid w:val="003D4E0A"/>
    <w:rsid w:val="003E0FCB"/>
    <w:rsid w:val="003E24F1"/>
    <w:rsid w:val="003E50AE"/>
    <w:rsid w:val="003F0C6C"/>
    <w:rsid w:val="0040026C"/>
    <w:rsid w:val="004115C5"/>
    <w:rsid w:val="00420C25"/>
    <w:rsid w:val="00425AD3"/>
    <w:rsid w:val="004261A5"/>
    <w:rsid w:val="004349AA"/>
    <w:rsid w:val="00436FC3"/>
    <w:rsid w:val="00456B57"/>
    <w:rsid w:val="00461F34"/>
    <w:rsid w:val="00483104"/>
    <w:rsid w:val="0049413B"/>
    <w:rsid w:val="004A2313"/>
    <w:rsid w:val="004A48AF"/>
    <w:rsid w:val="004A5953"/>
    <w:rsid w:val="004A5CD1"/>
    <w:rsid w:val="004B64F0"/>
    <w:rsid w:val="004B6CCB"/>
    <w:rsid w:val="004C68C2"/>
    <w:rsid w:val="004E1560"/>
    <w:rsid w:val="004E6E75"/>
    <w:rsid w:val="004E7007"/>
    <w:rsid w:val="004F6986"/>
    <w:rsid w:val="005028F2"/>
    <w:rsid w:val="00502AC1"/>
    <w:rsid w:val="00505C7F"/>
    <w:rsid w:val="00513939"/>
    <w:rsid w:val="00516029"/>
    <w:rsid w:val="0051704B"/>
    <w:rsid w:val="00520481"/>
    <w:rsid w:val="005306D2"/>
    <w:rsid w:val="005329E3"/>
    <w:rsid w:val="00532CAD"/>
    <w:rsid w:val="0053346B"/>
    <w:rsid w:val="00540D89"/>
    <w:rsid w:val="005415B8"/>
    <w:rsid w:val="005569B7"/>
    <w:rsid w:val="00576C16"/>
    <w:rsid w:val="005A675E"/>
    <w:rsid w:val="005B2535"/>
    <w:rsid w:val="005B2C08"/>
    <w:rsid w:val="005C0791"/>
    <w:rsid w:val="005E223C"/>
    <w:rsid w:val="005F7998"/>
    <w:rsid w:val="006061B0"/>
    <w:rsid w:val="00613CB3"/>
    <w:rsid w:val="006339AA"/>
    <w:rsid w:val="00640637"/>
    <w:rsid w:val="006408CD"/>
    <w:rsid w:val="00642E5E"/>
    <w:rsid w:val="00647EF4"/>
    <w:rsid w:val="00667668"/>
    <w:rsid w:val="00670515"/>
    <w:rsid w:val="006A29C9"/>
    <w:rsid w:val="006A672C"/>
    <w:rsid w:val="006B23BF"/>
    <w:rsid w:val="006B31D9"/>
    <w:rsid w:val="006C55E7"/>
    <w:rsid w:val="006D0D9C"/>
    <w:rsid w:val="006D497F"/>
    <w:rsid w:val="006D6A12"/>
    <w:rsid w:val="006E211A"/>
    <w:rsid w:val="006E3954"/>
    <w:rsid w:val="00700F38"/>
    <w:rsid w:val="007207CB"/>
    <w:rsid w:val="007378CE"/>
    <w:rsid w:val="0074245B"/>
    <w:rsid w:val="007500D3"/>
    <w:rsid w:val="00767BBE"/>
    <w:rsid w:val="007740D1"/>
    <w:rsid w:val="00781232"/>
    <w:rsid w:val="0078494D"/>
    <w:rsid w:val="00791A85"/>
    <w:rsid w:val="007A4BB1"/>
    <w:rsid w:val="007B3D4E"/>
    <w:rsid w:val="007B4526"/>
    <w:rsid w:val="007B4B1C"/>
    <w:rsid w:val="007D2AA9"/>
    <w:rsid w:val="007D2DAD"/>
    <w:rsid w:val="007D6C5F"/>
    <w:rsid w:val="007F3F8D"/>
    <w:rsid w:val="007F52F9"/>
    <w:rsid w:val="00814B49"/>
    <w:rsid w:val="00820A07"/>
    <w:rsid w:val="0084183B"/>
    <w:rsid w:val="008418D3"/>
    <w:rsid w:val="00841B87"/>
    <w:rsid w:val="00842582"/>
    <w:rsid w:val="00852F42"/>
    <w:rsid w:val="00857736"/>
    <w:rsid w:val="00870841"/>
    <w:rsid w:val="00870E6D"/>
    <w:rsid w:val="00894C66"/>
    <w:rsid w:val="008A52A1"/>
    <w:rsid w:val="008D6D3B"/>
    <w:rsid w:val="008E16D4"/>
    <w:rsid w:val="008F33BB"/>
    <w:rsid w:val="0090720B"/>
    <w:rsid w:val="00915626"/>
    <w:rsid w:val="0092052F"/>
    <w:rsid w:val="00920A70"/>
    <w:rsid w:val="00931DF2"/>
    <w:rsid w:val="00933721"/>
    <w:rsid w:val="0094094D"/>
    <w:rsid w:val="00951C25"/>
    <w:rsid w:val="00952E2F"/>
    <w:rsid w:val="00953621"/>
    <w:rsid w:val="00955BD4"/>
    <w:rsid w:val="009734F6"/>
    <w:rsid w:val="0097646C"/>
    <w:rsid w:val="00982303"/>
    <w:rsid w:val="009A0AA8"/>
    <w:rsid w:val="009A0FDB"/>
    <w:rsid w:val="009A667A"/>
    <w:rsid w:val="009A6897"/>
    <w:rsid w:val="009A7E7D"/>
    <w:rsid w:val="009B0E27"/>
    <w:rsid w:val="009D0879"/>
    <w:rsid w:val="009D50D4"/>
    <w:rsid w:val="009E0F4E"/>
    <w:rsid w:val="009F1F15"/>
    <w:rsid w:val="009F2007"/>
    <w:rsid w:val="009F4A15"/>
    <w:rsid w:val="00A016D7"/>
    <w:rsid w:val="00A01CE4"/>
    <w:rsid w:val="00A06781"/>
    <w:rsid w:val="00A2008F"/>
    <w:rsid w:val="00A2669E"/>
    <w:rsid w:val="00A27FDB"/>
    <w:rsid w:val="00A32E27"/>
    <w:rsid w:val="00A46331"/>
    <w:rsid w:val="00A54A1D"/>
    <w:rsid w:val="00A56E13"/>
    <w:rsid w:val="00A64E11"/>
    <w:rsid w:val="00A66241"/>
    <w:rsid w:val="00A7677A"/>
    <w:rsid w:val="00A80C96"/>
    <w:rsid w:val="00A9782D"/>
    <w:rsid w:val="00AA30E5"/>
    <w:rsid w:val="00AA751C"/>
    <w:rsid w:val="00AB1D47"/>
    <w:rsid w:val="00AC2792"/>
    <w:rsid w:val="00AE00F9"/>
    <w:rsid w:val="00AE6AAD"/>
    <w:rsid w:val="00AF0540"/>
    <w:rsid w:val="00B04E0C"/>
    <w:rsid w:val="00B146C4"/>
    <w:rsid w:val="00B20CD0"/>
    <w:rsid w:val="00B266A9"/>
    <w:rsid w:val="00B32FB4"/>
    <w:rsid w:val="00B34808"/>
    <w:rsid w:val="00B57DE2"/>
    <w:rsid w:val="00B61024"/>
    <w:rsid w:val="00B62DBF"/>
    <w:rsid w:val="00B63DDA"/>
    <w:rsid w:val="00B64A83"/>
    <w:rsid w:val="00B67BD8"/>
    <w:rsid w:val="00B94426"/>
    <w:rsid w:val="00BA29F6"/>
    <w:rsid w:val="00BB6048"/>
    <w:rsid w:val="00BC06D0"/>
    <w:rsid w:val="00BD605B"/>
    <w:rsid w:val="00BE2FE9"/>
    <w:rsid w:val="00C143A4"/>
    <w:rsid w:val="00C2418C"/>
    <w:rsid w:val="00C31F14"/>
    <w:rsid w:val="00C42181"/>
    <w:rsid w:val="00C622EA"/>
    <w:rsid w:val="00C7176C"/>
    <w:rsid w:val="00C818BD"/>
    <w:rsid w:val="00C81F5B"/>
    <w:rsid w:val="00C92834"/>
    <w:rsid w:val="00CA2C89"/>
    <w:rsid w:val="00CA3859"/>
    <w:rsid w:val="00CB0A19"/>
    <w:rsid w:val="00CC207C"/>
    <w:rsid w:val="00CD0EC1"/>
    <w:rsid w:val="00CE53D2"/>
    <w:rsid w:val="00CF7EB2"/>
    <w:rsid w:val="00D02FF1"/>
    <w:rsid w:val="00D07FB4"/>
    <w:rsid w:val="00D12A2E"/>
    <w:rsid w:val="00D140C0"/>
    <w:rsid w:val="00D459BA"/>
    <w:rsid w:val="00D46A53"/>
    <w:rsid w:val="00D6600B"/>
    <w:rsid w:val="00D67300"/>
    <w:rsid w:val="00D67AA4"/>
    <w:rsid w:val="00D72A6F"/>
    <w:rsid w:val="00D75EFF"/>
    <w:rsid w:val="00D762C1"/>
    <w:rsid w:val="00D87F10"/>
    <w:rsid w:val="00D915CA"/>
    <w:rsid w:val="00D91F02"/>
    <w:rsid w:val="00D9302B"/>
    <w:rsid w:val="00DA2171"/>
    <w:rsid w:val="00DA3392"/>
    <w:rsid w:val="00DA34B0"/>
    <w:rsid w:val="00DA6434"/>
    <w:rsid w:val="00DB0F03"/>
    <w:rsid w:val="00DB3D89"/>
    <w:rsid w:val="00DC1EC5"/>
    <w:rsid w:val="00DC26ED"/>
    <w:rsid w:val="00DD156D"/>
    <w:rsid w:val="00DE5486"/>
    <w:rsid w:val="00DF4270"/>
    <w:rsid w:val="00E1402E"/>
    <w:rsid w:val="00E2445B"/>
    <w:rsid w:val="00E26F36"/>
    <w:rsid w:val="00E27AE2"/>
    <w:rsid w:val="00E54867"/>
    <w:rsid w:val="00E6091E"/>
    <w:rsid w:val="00E65FD5"/>
    <w:rsid w:val="00E878A5"/>
    <w:rsid w:val="00E947C4"/>
    <w:rsid w:val="00EB501A"/>
    <w:rsid w:val="00EC087B"/>
    <w:rsid w:val="00EC140C"/>
    <w:rsid w:val="00EC4B5E"/>
    <w:rsid w:val="00ED2FEA"/>
    <w:rsid w:val="00ED5B82"/>
    <w:rsid w:val="00EF595C"/>
    <w:rsid w:val="00EF63B5"/>
    <w:rsid w:val="00F065EA"/>
    <w:rsid w:val="00F12982"/>
    <w:rsid w:val="00F46311"/>
    <w:rsid w:val="00F54829"/>
    <w:rsid w:val="00F55C2F"/>
    <w:rsid w:val="00F5728D"/>
    <w:rsid w:val="00F76932"/>
    <w:rsid w:val="00F804AA"/>
    <w:rsid w:val="00F8256E"/>
    <w:rsid w:val="00F828C0"/>
    <w:rsid w:val="00F84A96"/>
    <w:rsid w:val="00F91EC5"/>
    <w:rsid w:val="00F930C8"/>
    <w:rsid w:val="00F9390C"/>
    <w:rsid w:val="00F959DE"/>
    <w:rsid w:val="00FB2757"/>
    <w:rsid w:val="00FB2E13"/>
    <w:rsid w:val="00FB36AF"/>
    <w:rsid w:val="00FD7CDB"/>
    <w:rsid w:val="00FE4171"/>
    <w:rsid w:val="0130215C"/>
    <w:rsid w:val="06DC7859"/>
    <w:rsid w:val="07F118A7"/>
    <w:rsid w:val="09780FE6"/>
    <w:rsid w:val="0C7F4780"/>
    <w:rsid w:val="0C8A37DF"/>
    <w:rsid w:val="0D3E4FC5"/>
    <w:rsid w:val="108E0C2E"/>
    <w:rsid w:val="11E00E28"/>
    <w:rsid w:val="14B8165B"/>
    <w:rsid w:val="18931874"/>
    <w:rsid w:val="1CB01AE5"/>
    <w:rsid w:val="1D52FE03"/>
    <w:rsid w:val="20564F67"/>
    <w:rsid w:val="22903F40"/>
    <w:rsid w:val="2428786F"/>
    <w:rsid w:val="250E6BFE"/>
    <w:rsid w:val="253C3156"/>
    <w:rsid w:val="2FC015D3"/>
    <w:rsid w:val="300F2202"/>
    <w:rsid w:val="30E8054D"/>
    <w:rsid w:val="33C01926"/>
    <w:rsid w:val="34584414"/>
    <w:rsid w:val="370D1705"/>
    <w:rsid w:val="37697DF6"/>
    <w:rsid w:val="3BFE6559"/>
    <w:rsid w:val="3C9E1F83"/>
    <w:rsid w:val="3FE42117"/>
    <w:rsid w:val="40190FE2"/>
    <w:rsid w:val="40516596"/>
    <w:rsid w:val="424413B5"/>
    <w:rsid w:val="430420E0"/>
    <w:rsid w:val="543F12D1"/>
    <w:rsid w:val="579266F5"/>
    <w:rsid w:val="5B6B7E52"/>
    <w:rsid w:val="5C9B4908"/>
    <w:rsid w:val="5D9EEC2B"/>
    <w:rsid w:val="5E0D31DF"/>
    <w:rsid w:val="5E831ACF"/>
    <w:rsid w:val="5EAF7A86"/>
    <w:rsid w:val="5EBFE94F"/>
    <w:rsid w:val="5F331135"/>
    <w:rsid w:val="5FCE799C"/>
    <w:rsid w:val="60A9304C"/>
    <w:rsid w:val="60D72176"/>
    <w:rsid w:val="61727C75"/>
    <w:rsid w:val="673EC2C1"/>
    <w:rsid w:val="6C4876F4"/>
    <w:rsid w:val="704A6E4F"/>
    <w:rsid w:val="72724C57"/>
    <w:rsid w:val="73194621"/>
    <w:rsid w:val="73D357FF"/>
    <w:rsid w:val="73E21972"/>
    <w:rsid w:val="73FFF01E"/>
    <w:rsid w:val="76901005"/>
    <w:rsid w:val="793A669D"/>
    <w:rsid w:val="799646AA"/>
    <w:rsid w:val="7AF74291"/>
    <w:rsid w:val="7DB33A51"/>
    <w:rsid w:val="7E9F053D"/>
    <w:rsid w:val="7F7ED983"/>
    <w:rsid w:val="7FF78722"/>
    <w:rsid w:val="7FFE8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7900323-06F1-4F5A-992C-E487F82AD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ody Text"/>
    <w:basedOn w:val="a"/>
    <w:next w:val="a6"/>
    <w:qFormat/>
    <w:pPr>
      <w:tabs>
        <w:tab w:val="left" w:pos="720"/>
        <w:tab w:val="left" w:pos="1440"/>
        <w:tab w:val="left" w:pos="2160"/>
        <w:tab w:val="left" w:pos="2880"/>
        <w:tab w:val="left" w:pos="3600"/>
        <w:tab w:val="left" w:pos="4321"/>
        <w:tab w:val="left" w:pos="5041"/>
        <w:tab w:val="left" w:pos="5761"/>
        <w:tab w:val="left" w:pos="6481"/>
        <w:tab w:val="left" w:pos="7201"/>
        <w:tab w:val="left" w:pos="7921"/>
      </w:tabs>
      <w:autoSpaceDE w:val="0"/>
      <w:autoSpaceDN w:val="0"/>
      <w:spacing w:after="120"/>
    </w:pPr>
  </w:style>
  <w:style w:type="paragraph" w:styleId="a6">
    <w:name w:val="Title"/>
    <w:basedOn w:val="a"/>
    <w:next w:val="a"/>
    <w:qFormat/>
    <w:pPr>
      <w:spacing w:before="240" w:after="60"/>
      <w:jc w:val="center"/>
      <w:outlineLvl w:val="0"/>
    </w:pPr>
    <w:rPr>
      <w:rFonts w:ascii="Arial" w:hAnsi="Arial"/>
      <w:b/>
    </w:rPr>
  </w:style>
  <w:style w:type="paragraph" w:styleId="2">
    <w:name w:val="Body Text Indent 2"/>
    <w:basedOn w:val="a"/>
    <w:qFormat/>
    <w:pPr>
      <w:ind w:left="420"/>
    </w:pPr>
    <w:rPr>
      <w:rFonts w:asciiTheme="minorHAnsi" w:eastAsiaTheme="minorEastAsia" w:hAnsiTheme="minorHAnsi" w:cstheme="minorBidi"/>
      <w:b/>
      <w:sz w:val="24"/>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annotation subject"/>
    <w:basedOn w:val="a3"/>
    <w:next w:val="a3"/>
    <w:link w:val="ae"/>
    <w:uiPriority w:val="99"/>
    <w:semiHidden/>
    <w:unhideWhenUsed/>
    <w:qFormat/>
    <w:rPr>
      <w:b/>
      <w:bCs/>
    </w:rPr>
  </w:style>
  <w:style w:type="character" w:styleId="af">
    <w:name w:val="Strong"/>
    <w:basedOn w:val="a0"/>
    <w:uiPriority w:val="22"/>
    <w:qFormat/>
    <w:rPr>
      <w:b/>
    </w:rPr>
  </w:style>
  <w:style w:type="character" w:styleId="af0">
    <w:name w:val="annotation reference"/>
    <w:basedOn w:val="a0"/>
    <w:uiPriority w:val="99"/>
    <w:semiHidden/>
    <w:unhideWhenUsed/>
    <w:qFormat/>
    <w:rPr>
      <w:sz w:val="21"/>
      <w:szCs w:val="21"/>
    </w:rPr>
  </w:style>
  <w:style w:type="character" w:customStyle="1" w:styleId="a8">
    <w:name w:val="批注框文本 字符"/>
    <w:basedOn w:val="a0"/>
    <w:link w:val="a7"/>
    <w:uiPriority w:val="99"/>
    <w:semiHidden/>
    <w:qFormat/>
    <w:rPr>
      <w:rFonts w:ascii="Calibri" w:eastAsia="宋体" w:hAnsi="Calibri" w:cs="Times New Roman"/>
      <w:sz w:val="18"/>
      <w:szCs w:val="18"/>
    </w:rPr>
  </w:style>
  <w:style w:type="character" w:customStyle="1" w:styleId="ac">
    <w:name w:val="页眉 字符"/>
    <w:basedOn w:val="a0"/>
    <w:link w:val="ab"/>
    <w:uiPriority w:val="99"/>
    <w:qFormat/>
    <w:rPr>
      <w:rFonts w:ascii="Calibri" w:eastAsia="宋体" w:hAnsi="Calibri" w:cs="Times New Roman"/>
      <w:sz w:val="18"/>
      <w:szCs w:val="18"/>
    </w:rPr>
  </w:style>
  <w:style w:type="character" w:customStyle="1" w:styleId="aa">
    <w:name w:val="页脚 字符"/>
    <w:basedOn w:val="a0"/>
    <w:link w:val="a9"/>
    <w:uiPriority w:val="99"/>
    <w:qFormat/>
    <w:rPr>
      <w:rFonts w:ascii="Calibri" w:eastAsia="宋体" w:hAnsi="Calibri" w:cs="Times New Roman"/>
      <w:sz w:val="18"/>
      <w:szCs w:val="18"/>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character" w:customStyle="1" w:styleId="a4">
    <w:name w:val="批注文字 字符"/>
    <w:basedOn w:val="a0"/>
    <w:link w:val="a3"/>
    <w:uiPriority w:val="99"/>
    <w:qFormat/>
    <w:rPr>
      <w:rFonts w:ascii="Calibri" w:eastAsia="宋体" w:hAnsi="Calibri" w:cs="Times New Roman"/>
      <w:szCs w:val="24"/>
    </w:rPr>
  </w:style>
  <w:style w:type="character" w:customStyle="1" w:styleId="ae">
    <w:name w:val="批注主题 字符"/>
    <w:basedOn w:val="a4"/>
    <w:link w:val="ad"/>
    <w:uiPriority w:val="99"/>
    <w:semiHidden/>
    <w:qFormat/>
    <w:rPr>
      <w:rFonts w:ascii="Calibri" w:eastAsia="宋体" w:hAnsi="Calibri" w:cs="Times New Roman"/>
      <w:b/>
      <w:bCs/>
      <w:szCs w:val="24"/>
    </w:rPr>
  </w:style>
  <w:style w:type="character" w:customStyle="1" w:styleId="bgchighlight-anchor">
    <w:name w:val="bgchighlight-ancho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D3F3D32-0F31-4AA3-9D7C-45C854B2E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3139</Words>
  <Characters>228</Characters>
  <Application>Microsoft Office Word</Application>
  <DocSecurity>0</DocSecurity>
  <Lines>1</Lines>
  <Paragraphs>6</Paragraphs>
  <ScaleCrop>false</ScaleCrop>
  <Company/>
  <LinksUpToDate>false</LinksUpToDate>
  <CharactersWithSpaces>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 Zhengrong</dc:creator>
  <cp:lastModifiedBy>李 荣</cp:lastModifiedBy>
  <cp:revision>9</cp:revision>
  <cp:lastPrinted>2021-04-23T17:41:00Z</cp:lastPrinted>
  <dcterms:created xsi:type="dcterms:W3CDTF">2026-04-03T23:27:00Z</dcterms:created>
  <dcterms:modified xsi:type="dcterms:W3CDTF">2026-04-24T06:35:00Z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2052-11.8.2.12344</vt:lpwstr>
  </property>
  <property fmtid="{D5CDD505-2E9C-101B-9397-08002B2CF9AE}" pid="3" name="ICV">
    <vt:lpwstr>D56B8D1F19B238381DC0E9694CF684BF</vt:lpwstr>
  </property>
  <property fmtid="{D5CDD505-2E9C-101B-9397-08002B2CF9AE}" pid="4" name="KSOTemplateDocerSaveRecord">
    <vt:lpwstr>eyJoZGlkIjoiMzEwNTM5NzYwMDRjMzkwZTVkZjY2ODkwMGIxNGU0OTUiLCJ1c2VySWQiOiI0NDY0NTgyODUifQ==</vt:lpwstr>
  </property>
</Properties>
</file>