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990FC" w14:textId="77777777" w:rsidR="005121FE" w:rsidRDefault="0040129C">
      <w:pPr>
        <w:spacing w:before="226" w:line="219" w:lineRule="auto"/>
        <w:ind w:left="143"/>
        <w:rPr>
          <w:rFonts w:ascii="宋体" w:eastAsia="宋体" w:hAnsi="宋体" w:cs="宋体"/>
          <w:spacing w:val="-1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证券代码：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 xml:space="preserve">600256                               </w:t>
      </w: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 xml:space="preserve">               </w:t>
      </w:r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证券简称：</w:t>
      </w:r>
      <w:proofErr w:type="gramStart"/>
      <w:r>
        <w:rPr>
          <w:rFonts w:ascii="宋体" w:eastAsia="宋体" w:hAnsi="宋体" w:cs="宋体"/>
          <w:spacing w:val="-1"/>
          <w:sz w:val="24"/>
          <w:szCs w:val="24"/>
          <w:lang w:eastAsia="zh-CN"/>
        </w:rPr>
        <w:t>广汇能源</w:t>
      </w:r>
      <w:proofErr w:type="gramEnd"/>
    </w:p>
    <w:p w14:paraId="3C1BE166" w14:textId="77777777" w:rsidR="005121FE" w:rsidRDefault="005121FE">
      <w:pPr>
        <w:spacing w:line="264" w:lineRule="auto"/>
        <w:rPr>
          <w:lang w:eastAsia="zh-CN"/>
        </w:rPr>
      </w:pPr>
    </w:p>
    <w:p w14:paraId="14A2D555" w14:textId="77777777" w:rsidR="005121FE" w:rsidRDefault="005121FE">
      <w:pPr>
        <w:spacing w:line="265" w:lineRule="auto"/>
        <w:rPr>
          <w:lang w:eastAsia="zh-CN"/>
        </w:rPr>
      </w:pPr>
    </w:p>
    <w:p w14:paraId="45DED819" w14:textId="77777777" w:rsidR="005121FE" w:rsidRDefault="0040129C">
      <w:pPr>
        <w:spacing w:before="117" w:line="261" w:lineRule="auto"/>
        <w:ind w:left="2412" w:right="2610" w:firstLine="1"/>
        <w:jc w:val="center"/>
        <w:outlineLvl w:val="0"/>
        <w:rPr>
          <w:rFonts w:ascii="黑体" w:eastAsia="黑体" w:hAnsi="黑体" w:cs="黑体"/>
          <w:b/>
          <w:bCs/>
          <w:spacing w:val="-11"/>
          <w:sz w:val="36"/>
          <w:szCs w:val="36"/>
          <w:lang w:eastAsia="zh-CN"/>
        </w:rPr>
      </w:pPr>
      <w:proofErr w:type="gramStart"/>
      <w:r>
        <w:rPr>
          <w:rFonts w:ascii="黑体" w:eastAsia="黑体" w:hAnsi="黑体" w:cs="黑体"/>
          <w:b/>
          <w:bCs/>
          <w:spacing w:val="-11"/>
          <w:sz w:val="36"/>
          <w:szCs w:val="36"/>
          <w:lang w:eastAsia="zh-CN"/>
        </w:rPr>
        <w:t>广汇能源</w:t>
      </w:r>
      <w:proofErr w:type="gramEnd"/>
      <w:r>
        <w:rPr>
          <w:rFonts w:ascii="黑体" w:eastAsia="黑体" w:hAnsi="黑体" w:cs="黑体"/>
          <w:b/>
          <w:bCs/>
          <w:spacing w:val="-11"/>
          <w:sz w:val="36"/>
          <w:szCs w:val="36"/>
          <w:lang w:eastAsia="zh-CN"/>
        </w:rPr>
        <w:t>股份有限公司</w:t>
      </w:r>
    </w:p>
    <w:p w14:paraId="11151618" w14:textId="77777777" w:rsidR="005121FE" w:rsidRDefault="0040129C">
      <w:pPr>
        <w:spacing w:before="117" w:line="261" w:lineRule="auto"/>
        <w:ind w:left="2412" w:right="2610" w:firstLine="1"/>
        <w:jc w:val="center"/>
        <w:outlineLvl w:val="0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/>
          <w:b/>
          <w:bCs/>
          <w:spacing w:val="-11"/>
          <w:sz w:val="36"/>
          <w:szCs w:val="36"/>
          <w:lang w:eastAsia="zh-CN"/>
        </w:rPr>
        <w:t>投资者关系活动记录表</w:t>
      </w:r>
    </w:p>
    <w:p w14:paraId="70FD567B" w14:textId="77777777" w:rsidR="005121FE" w:rsidRDefault="005121FE">
      <w:pPr>
        <w:spacing w:before="213"/>
        <w:rPr>
          <w:lang w:eastAsia="zh-CN"/>
        </w:rPr>
      </w:pPr>
    </w:p>
    <w:tbl>
      <w:tblPr>
        <w:tblStyle w:val="TableNormal"/>
        <w:tblW w:w="9905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7"/>
        <w:gridCol w:w="2996"/>
        <w:gridCol w:w="4942"/>
      </w:tblGrid>
      <w:tr w:rsidR="005121FE" w14:paraId="79B3FC61" w14:textId="77777777">
        <w:trPr>
          <w:trHeight w:val="1077"/>
        </w:trPr>
        <w:tc>
          <w:tcPr>
            <w:tcW w:w="1967" w:type="dxa"/>
            <w:vAlign w:val="center"/>
          </w:tcPr>
          <w:p w14:paraId="41EB9CA0" w14:textId="77777777" w:rsidR="005121FE" w:rsidRDefault="0040129C">
            <w:pPr>
              <w:pStyle w:val="TableText"/>
              <w:spacing w:before="78" w:line="373" w:lineRule="auto"/>
              <w:ind w:left="510" w:right="372" w:hanging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13"/>
                <w:sz w:val="24"/>
                <w:szCs w:val="24"/>
              </w:rPr>
              <w:t>投资者关系</w:t>
            </w:r>
            <w:r>
              <w:rPr>
                <w:b/>
                <w:bCs/>
                <w:spacing w:val="-12"/>
                <w:sz w:val="24"/>
                <w:szCs w:val="24"/>
              </w:rPr>
              <w:t>活动类别</w:t>
            </w:r>
            <w:proofErr w:type="spellEnd"/>
          </w:p>
        </w:tc>
        <w:tc>
          <w:tcPr>
            <w:tcW w:w="2996" w:type="dxa"/>
            <w:tcBorders>
              <w:right w:val="nil"/>
            </w:tcBorders>
          </w:tcPr>
          <w:p w14:paraId="06E48E5B" w14:textId="77777777" w:rsidR="005121FE" w:rsidRDefault="0040129C">
            <w:pPr>
              <w:pStyle w:val="TableText"/>
              <w:spacing w:before="210" w:line="207" w:lineRule="auto"/>
              <w:ind w:left="138"/>
              <w:rPr>
                <w:sz w:val="24"/>
                <w:szCs w:val="24"/>
                <w:lang w:eastAsia="zh-CN"/>
              </w:rPr>
            </w:pPr>
            <w:r>
              <w:rPr>
                <w:rFonts w:ascii="Segoe UI Symbol" w:eastAsia="Segoe UI Symbol" w:hAnsi="Segoe UI Symbol" w:cs="Segoe UI Symbol"/>
                <w:spacing w:val="-7"/>
                <w:sz w:val="24"/>
                <w:szCs w:val="24"/>
                <w:lang w:eastAsia="zh-CN"/>
              </w:rPr>
              <w:t>□</w:t>
            </w:r>
            <w:r>
              <w:rPr>
                <w:spacing w:val="-7"/>
                <w:sz w:val="24"/>
                <w:szCs w:val="24"/>
                <w:lang w:eastAsia="zh-CN"/>
              </w:rPr>
              <w:t>特定对象调研</w:t>
            </w:r>
          </w:p>
          <w:p w14:paraId="0935DF93" w14:textId="77777777" w:rsidR="005121FE" w:rsidRDefault="0040129C">
            <w:pPr>
              <w:pStyle w:val="TableText"/>
              <w:spacing w:before="204" w:line="207" w:lineRule="auto"/>
              <w:ind w:left="138"/>
              <w:rPr>
                <w:sz w:val="24"/>
                <w:szCs w:val="24"/>
                <w:lang w:eastAsia="zh-CN"/>
              </w:rPr>
            </w:pPr>
            <w:r>
              <w:rPr>
                <w:rFonts w:ascii="Segoe UI Symbol" w:eastAsia="Segoe UI Symbol" w:hAnsi="Segoe UI Symbol" w:cs="Segoe UI Symbol"/>
                <w:spacing w:val="-8"/>
                <w:sz w:val="24"/>
                <w:szCs w:val="24"/>
                <w:lang w:eastAsia="zh-CN"/>
              </w:rPr>
              <w:t>□</w:t>
            </w:r>
            <w:r>
              <w:rPr>
                <w:spacing w:val="-8"/>
                <w:sz w:val="24"/>
                <w:szCs w:val="24"/>
                <w:lang w:eastAsia="zh-CN"/>
              </w:rPr>
              <w:t>媒体采访</w:t>
            </w:r>
          </w:p>
          <w:p w14:paraId="72CECBD0" w14:textId="77777777" w:rsidR="005121FE" w:rsidRDefault="0040129C">
            <w:pPr>
              <w:pStyle w:val="TableText"/>
              <w:spacing w:before="206" w:line="207" w:lineRule="auto"/>
              <w:ind w:left="138"/>
              <w:rPr>
                <w:sz w:val="24"/>
                <w:szCs w:val="24"/>
                <w:lang w:eastAsia="zh-CN"/>
              </w:rPr>
            </w:pPr>
            <w:r>
              <w:rPr>
                <w:rFonts w:ascii="Segoe UI Symbol" w:eastAsia="Segoe UI Symbol" w:hAnsi="Segoe UI Symbol" w:cs="Segoe UI Symbol"/>
                <w:spacing w:val="-8"/>
                <w:sz w:val="24"/>
                <w:szCs w:val="24"/>
                <w:lang w:eastAsia="zh-CN"/>
              </w:rPr>
              <w:t>□</w:t>
            </w:r>
            <w:r>
              <w:rPr>
                <w:spacing w:val="-8"/>
                <w:sz w:val="24"/>
                <w:szCs w:val="24"/>
                <w:lang w:eastAsia="zh-CN"/>
              </w:rPr>
              <w:t>新闻发布会</w:t>
            </w:r>
          </w:p>
          <w:p w14:paraId="026DDA5C" w14:textId="77777777" w:rsidR="005121FE" w:rsidRDefault="0040129C">
            <w:pPr>
              <w:pStyle w:val="TableText"/>
              <w:spacing w:before="190" w:line="195" w:lineRule="auto"/>
              <w:ind w:left="139"/>
              <w:rPr>
                <w:sz w:val="24"/>
                <w:szCs w:val="24"/>
                <w:lang w:eastAsia="zh-CN"/>
              </w:rPr>
            </w:pPr>
            <w:r>
              <w:rPr>
                <w:rFonts w:ascii="Segoe UI Symbol" w:hAnsi="Segoe UI Symbol" w:cs="Segoe UI Symbol" w:hint="eastAsia"/>
                <w:spacing w:val="-14"/>
                <w:sz w:val="24"/>
                <w:szCs w:val="24"/>
                <w:lang w:eastAsia="zh-CN"/>
              </w:rPr>
              <w:t>□</w:t>
            </w:r>
            <w:r>
              <w:rPr>
                <w:spacing w:val="-14"/>
                <w:sz w:val="24"/>
                <w:szCs w:val="24"/>
                <w:lang w:eastAsia="zh-CN"/>
              </w:rPr>
              <w:t>现场参观</w:t>
            </w:r>
          </w:p>
        </w:tc>
        <w:tc>
          <w:tcPr>
            <w:tcW w:w="4942" w:type="dxa"/>
            <w:tcBorders>
              <w:left w:val="nil"/>
            </w:tcBorders>
          </w:tcPr>
          <w:p w14:paraId="4B5EAF32" w14:textId="77777777" w:rsidR="005121FE" w:rsidRDefault="0040129C">
            <w:pPr>
              <w:pStyle w:val="TableText"/>
              <w:spacing w:before="208" w:line="207" w:lineRule="auto"/>
              <w:ind w:left="773"/>
              <w:rPr>
                <w:sz w:val="24"/>
                <w:szCs w:val="24"/>
                <w:lang w:eastAsia="zh-CN"/>
              </w:rPr>
            </w:pPr>
            <w:r>
              <w:rPr>
                <w:rFonts w:ascii="Segoe UI Symbol" w:eastAsia="Segoe UI Symbol" w:hAnsi="Segoe UI Symbol" w:cs="Segoe UI Symbol"/>
                <w:spacing w:val="-8"/>
                <w:sz w:val="24"/>
                <w:szCs w:val="24"/>
                <w:lang w:eastAsia="zh-CN"/>
              </w:rPr>
              <w:t>□</w:t>
            </w:r>
            <w:r>
              <w:rPr>
                <w:spacing w:val="-8"/>
                <w:sz w:val="24"/>
                <w:szCs w:val="24"/>
                <w:lang w:eastAsia="zh-CN"/>
              </w:rPr>
              <w:t>分析师会议</w:t>
            </w:r>
          </w:p>
          <w:p w14:paraId="0A73FEB7" w14:textId="77777777" w:rsidR="005121FE" w:rsidRDefault="0040129C">
            <w:pPr>
              <w:pStyle w:val="TableText"/>
              <w:spacing w:before="206" w:line="207" w:lineRule="auto"/>
              <w:ind w:left="773"/>
              <w:rPr>
                <w:sz w:val="24"/>
                <w:szCs w:val="24"/>
                <w:lang w:eastAsia="zh-CN"/>
              </w:rPr>
            </w:pPr>
            <w:r>
              <w:rPr>
                <w:rFonts w:ascii="Segoe UI Symbol" w:eastAsia="Segoe UI Symbol" w:hAnsi="Segoe UI Symbol" w:cs="Segoe UI Symbol"/>
                <w:spacing w:val="-8"/>
                <w:sz w:val="24"/>
                <w:szCs w:val="24"/>
                <w:lang w:eastAsia="zh-CN"/>
              </w:rPr>
              <w:t>□</w:t>
            </w:r>
            <w:r>
              <w:rPr>
                <w:spacing w:val="-8"/>
                <w:sz w:val="24"/>
                <w:szCs w:val="24"/>
                <w:lang w:eastAsia="zh-CN"/>
              </w:rPr>
              <w:t>业绩说明会</w:t>
            </w:r>
          </w:p>
          <w:p w14:paraId="1EFF6C07" w14:textId="77777777" w:rsidR="005121FE" w:rsidRDefault="0040129C">
            <w:pPr>
              <w:pStyle w:val="TableText"/>
              <w:spacing w:before="207" w:line="207" w:lineRule="auto"/>
              <w:ind w:left="734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spacing w:val="-8"/>
                <w:sz w:val="24"/>
                <w:szCs w:val="24"/>
                <w:lang w:eastAsia="zh-CN"/>
              </w:rPr>
              <w:t>☑</w:t>
            </w:r>
            <w:proofErr w:type="spellStart"/>
            <w:r>
              <w:rPr>
                <w:spacing w:val="-8"/>
                <w:sz w:val="24"/>
                <w:szCs w:val="24"/>
              </w:rPr>
              <w:t>路演活动</w:t>
            </w:r>
            <w:proofErr w:type="spellEnd"/>
          </w:p>
          <w:p w14:paraId="47E00F33" w14:textId="77777777" w:rsidR="005121FE" w:rsidRDefault="0040129C">
            <w:pPr>
              <w:pStyle w:val="TableText"/>
              <w:spacing w:before="205" w:line="182" w:lineRule="auto"/>
              <w:ind w:left="600" w:firstLineChars="100" w:firstLine="231"/>
              <w:rPr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spacing w:val="-9"/>
                <w:sz w:val="24"/>
                <w:szCs w:val="24"/>
              </w:rPr>
              <w:t>□</w:t>
            </w:r>
            <w:proofErr w:type="spellStart"/>
            <w:r>
              <w:rPr>
                <w:spacing w:val="-9"/>
                <w:sz w:val="24"/>
                <w:szCs w:val="24"/>
              </w:rPr>
              <w:t>其他</w:t>
            </w:r>
            <w:proofErr w:type="spellEnd"/>
          </w:p>
        </w:tc>
      </w:tr>
      <w:tr w:rsidR="005121FE" w14:paraId="0891501E" w14:textId="77777777">
        <w:trPr>
          <w:trHeight w:val="1992"/>
        </w:trPr>
        <w:tc>
          <w:tcPr>
            <w:tcW w:w="1967" w:type="dxa"/>
            <w:vAlign w:val="center"/>
          </w:tcPr>
          <w:p w14:paraId="08E601D0" w14:textId="77777777" w:rsidR="005121FE" w:rsidRDefault="0040129C">
            <w:pPr>
              <w:pStyle w:val="TableText"/>
              <w:spacing w:before="284" w:line="312" w:lineRule="auto"/>
              <w:ind w:left="373" w:right="261" w:hanging="114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11"/>
                <w:sz w:val="24"/>
                <w:szCs w:val="24"/>
                <w:lang w:eastAsia="zh-CN"/>
              </w:rPr>
              <w:t>参与单位名称</w:t>
            </w:r>
          </w:p>
        </w:tc>
        <w:tc>
          <w:tcPr>
            <w:tcW w:w="7938" w:type="dxa"/>
            <w:gridSpan w:val="2"/>
          </w:tcPr>
          <w:p w14:paraId="7AE043AD" w14:textId="4B768683" w:rsidR="005121FE" w:rsidRDefault="0040129C" w:rsidP="006259E0">
            <w:pPr>
              <w:pStyle w:val="TableText"/>
              <w:spacing w:before="297" w:line="335" w:lineRule="auto"/>
              <w:ind w:left="12" w:right="73" w:firstLine="23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京管泰富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基金；光大保德信基金；国海富兰克林；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工银瑞信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基金；华安基金；海富通基金；平安基金；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浦银安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盛基金；融通基金；太平基金；兴业基金；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兴证全球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基金；易方达基金；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中信保诚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基金；中海基金；招商基金；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千禾资本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北京乾创投资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；沸点资产（天津）；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邦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政资管；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杭州深沃投资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；杭州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融泰云臻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私募；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杭州遂玖私募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；山水私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募股权基金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管理；蓝海启程投资；南京璟恒投资；全天候基金；青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骊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投资</w:t>
            </w:r>
            <w:r>
              <w:rPr>
                <w:rFonts w:hint="eastAsia"/>
                <w:sz w:val="24"/>
                <w:szCs w:val="24"/>
                <w:lang w:eastAsia="zh-CN"/>
              </w:rPr>
              <w:t>(</w:t>
            </w:r>
            <w:r>
              <w:rPr>
                <w:rFonts w:hint="eastAsia"/>
                <w:sz w:val="24"/>
                <w:szCs w:val="24"/>
                <w:lang w:eastAsia="zh-CN"/>
              </w:rPr>
              <w:t>上海</w:t>
            </w:r>
            <w:r>
              <w:rPr>
                <w:rFonts w:hint="eastAsia"/>
                <w:sz w:val="24"/>
                <w:szCs w:val="24"/>
                <w:lang w:eastAsia="zh-CN"/>
              </w:rPr>
              <w:t>)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六禾致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谦私募；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深圳道朴私募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盈峰资本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管理</w:t>
            </w:r>
            <w:r w:rsidR="006259E0">
              <w:rPr>
                <w:rFonts w:hint="eastAsia"/>
                <w:sz w:val="24"/>
                <w:szCs w:val="24"/>
                <w:lang w:eastAsia="zh-CN"/>
              </w:rPr>
              <w:t>大家保险；复星人寿；平安养老保险；太保资管；中荷人寿</w:t>
            </w:r>
            <w:r>
              <w:rPr>
                <w:spacing w:val="-3"/>
                <w:sz w:val="24"/>
                <w:szCs w:val="24"/>
                <w:lang w:eastAsia="zh-CN"/>
              </w:rPr>
              <w:t>等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机构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84</w:t>
            </w:r>
            <w:r>
              <w:rPr>
                <w:spacing w:val="-3"/>
                <w:sz w:val="24"/>
                <w:szCs w:val="24"/>
                <w:lang w:eastAsia="zh-CN"/>
              </w:rPr>
              <w:t>位投资者（排名不分先后）</w:t>
            </w:r>
          </w:p>
        </w:tc>
      </w:tr>
      <w:tr w:rsidR="005121FE" w14:paraId="43E32880" w14:textId="77777777">
        <w:trPr>
          <w:trHeight w:val="90"/>
        </w:trPr>
        <w:tc>
          <w:tcPr>
            <w:tcW w:w="1967" w:type="dxa"/>
          </w:tcPr>
          <w:p w14:paraId="49BB4393" w14:textId="77777777" w:rsidR="005121FE" w:rsidRDefault="0040129C">
            <w:pPr>
              <w:pStyle w:val="TableText"/>
              <w:spacing w:before="237" w:line="200" w:lineRule="auto"/>
              <w:ind w:firstLineChars="300" w:firstLine="684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时</w:t>
            </w:r>
            <w:r>
              <w:rPr>
                <w:rFonts w:hint="eastAsia"/>
                <w:b/>
                <w:bCs/>
                <w:spacing w:val="-13"/>
                <w:sz w:val="24"/>
                <w:szCs w:val="24"/>
                <w:lang w:eastAsia="zh-CN"/>
              </w:rPr>
              <w:t xml:space="preserve">  </w:t>
            </w:r>
            <w:r>
              <w:rPr>
                <w:b/>
                <w:bCs/>
                <w:spacing w:val="-13"/>
                <w:sz w:val="24"/>
                <w:szCs w:val="24"/>
              </w:rPr>
              <w:t>间</w:t>
            </w:r>
          </w:p>
        </w:tc>
        <w:tc>
          <w:tcPr>
            <w:tcW w:w="7938" w:type="dxa"/>
            <w:gridSpan w:val="2"/>
          </w:tcPr>
          <w:p w14:paraId="301C2C7B" w14:textId="77777777" w:rsidR="005121FE" w:rsidRDefault="0040129C">
            <w:pPr>
              <w:pStyle w:val="TableText"/>
              <w:spacing w:before="250" w:line="207" w:lineRule="auto"/>
              <w:ind w:left="1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202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6</w:t>
            </w:r>
            <w:r>
              <w:rPr>
                <w:spacing w:val="-3"/>
                <w:sz w:val="24"/>
                <w:szCs w:val="24"/>
              </w:rPr>
              <w:t>年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4</w:t>
            </w:r>
            <w:r>
              <w:rPr>
                <w:spacing w:val="-3"/>
                <w:sz w:val="24"/>
                <w:szCs w:val="24"/>
              </w:rPr>
              <w:t>月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24</w:t>
            </w:r>
            <w:r>
              <w:rPr>
                <w:spacing w:val="-3"/>
                <w:sz w:val="24"/>
                <w:szCs w:val="24"/>
              </w:rPr>
              <w:t>日</w:t>
            </w:r>
          </w:p>
        </w:tc>
      </w:tr>
      <w:tr w:rsidR="005121FE" w14:paraId="281B1676" w14:textId="77777777">
        <w:trPr>
          <w:trHeight w:val="90"/>
        </w:trPr>
        <w:tc>
          <w:tcPr>
            <w:tcW w:w="1967" w:type="dxa"/>
          </w:tcPr>
          <w:p w14:paraId="7C958AB7" w14:textId="77777777" w:rsidR="005121FE" w:rsidRDefault="0040129C">
            <w:pPr>
              <w:pStyle w:val="TableText"/>
              <w:spacing w:before="242" w:line="200" w:lineRule="auto"/>
              <w:ind w:firstLineChars="300" w:firstLine="699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地</w:t>
            </w: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 xml:space="preserve">  </w:t>
            </w:r>
            <w:r>
              <w:rPr>
                <w:b/>
                <w:bCs/>
                <w:spacing w:val="-8"/>
                <w:sz w:val="24"/>
                <w:szCs w:val="24"/>
              </w:rPr>
              <w:t>点</w:t>
            </w:r>
          </w:p>
        </w:tc>
        <w:tc>
          <w:tcPr>
            <w:tcW w:w="7938" w:type="dxa"/>
            <w:gridSpan w:val="2"/>
          </w:tcPr>
          <w:p w14:paraId="0FF794FB" w14:textId="77777777" w:rsidR="005121FE" w:rsidRDefault="0040129C">
            <w:pPr>
              <w:pStyle w:val="TableText"/>
              <w:spacing w:before="252" w:line="210" w:lineRule="auto"/>
              <w:ind w:left="13"/>
              <w:rPr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新疆维吾尔自治区乌鲁木齐市新华北路</w:t>
            </w:r>
            <w:proofErr w:type="gramStart"/>
            <w:r>
              <w:rPr>
                <w:spacing w:val="-2"/>
                <w:sz w:val="24"/>
                <w:szCs w:val="24"/>
                <w:lang w:eastAsia="zh-CN"/>
              </w:rPr>
              <w:t>165</w:t>
            </w:r>
            <w:r>
              <w:rPr>
                <w:spacing w:val="-2"/>
                <w:sz w:val="24"/>
                <w:szCs w:val="24"/>
                <w:lang w:eastAsia="zh-CN"/>
              </w:rPr>
              <w:t>号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广汇能源</w:t>
            </w:r>
            <w:proofErr w:type="gramEnd"/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大厦（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线上会议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）</w:t>
            </w:r>
          </w:p>
        </w:tc>
      </w:tr>
      <w:tr w:rsidR="005121FE" w14:paraId="24745C87" w14:textId="77777777">
        <w:trPr>
          <w:trHeight w:val="90"/>
        </w:trPr>
        <w:tc>
          <w:tcPr>
            <w:tcW w:w="1967" w:type="dxa"/>
          </w:tcPr>
          <w:p w14:paraId="323965F7" w14:textId="77777777" w:rsidR="005121FE" w:rsidRDefault="0040129C">
            <w:pPr>
              <w:pStyle w:val="TableText"/>
              <w:spacing w:before="229" w:line="287" w:lineRule="auto"/>
              <w:ind w:left="547" w:right="213" w:hanging="240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11"/>
                <w:sz w:val="24"/>
                <w:szCs w:val="24"/>
                <w:lang w:eastAsia="zh-CN"/>
              </w:rPr>
              <w:t>上市公司接待</w:t>
            </w:r>
            <w:r>
              <w:rPr>
                <w:b/>
                <w:bCs/>
                <w:spacing w:val="-10"/>
                <w:sz w:val="24"/>
                <w:szCs w:val="24"/>
                <w:lang w:eastAsia="zh-CN"/>
              </w:rPr>
              <w:t>人员姓名</w:t>
            </w:r>
          </w:p>
        </w:tc>
        <w:tc>
          <w:tcPr>
            <w:tcW w:w="7938" w:type="dxa"/>
            <w:gridSpan w:val="2"/>
          </w:tcPr>
          <w:p w14:paraId="5F0977F1" w14:textId="77777777" w:rsidR="005121FE" w:rsidRDefault="0040129C">
            <w:pPr>
              <w:pStyle w:val="TableText"/>
              <w:spacing w:before="245" w:line="219" w:lineRule="auto"/>
              <w:ind w:left="11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pacing w:val="-3"/>
                <w:sz w:val="24"/>
                <w:szCs w:val="24"/>
                <w:lang w:eastAsia="zh-CN"/>
              </w:rPr>
              <w:t>广汇能源</w:t>
            </w:r>
            <w:proofErr w:type="gramEnd"/>
            <w:r>
              <w:rPr>
                <w:spacing w:val="-3"/>
                <w:sz w:val="24"/>
                <w:szCs w:val="24"/>
                <w:lang w:eastAsia="zh-CN"/>
              </w:rPr>
              <w:t>副总经理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兼</w:t>
            </w:r>
            <w:r>
              <w:rPr>
                <w:spacing w:val="-3"/>
                <w:sz w:val="24"/>
                <w:szCs w:val="24"/>
                <w:lang w:eastAsia="zh-CN"/>
              </w:rPr>
              <w:t>董事会秘书</w:t>
            </w:r>
            <w:r>
              <w:rPr>
                <w:spacing w:val="-3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3"/>
                <w:sz w:val="24"/>
                <w:szCs w:val="24"/>
                <w:lang w:eastAsia="zh-CN"/>
              </w:rPr>
              <w:t>阳贤</w:t>
            </w:r>
          </w:p>
          <w:p w14:paraId="094B2FC5" w14:textId="77777777" w:rsidR="005121FE" w:rsidRDefault="0040129C">
            <w:pPr>
              <w:pStyle w:val="TableText"/>
              <w:spacing w:before="126" w:line="220" w:lineRule="auto"/>
              <w:ind w:left="11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证券部相关人员</w:t>
            </w:r>
            <w:proofErr w:type="spellEnd"/>
          </w:p>
        </w:tc>
      </w:tr>
      <w:tr w:rsidR="005121FE" w14:paraId="47703028" w14:textId="77777777">
        <w:trPr>
          <w:trHeight w:val="70"/>
        </w:trPr>
        <w:tc>
          <w:tcPr>
            <w:tcW w:w="1967" w:type="dxa"/>
          </w:tcPr>
          <w:p w14:paraId="1F0E7738" w14:textId="77777777" w:rsidR="005121FE" w:rsidRDefault="005121FE">
            <w:pPr>
              <w:spacing w:line="273" w:lineRule="auto"/>
              <w:rPr>
                <w:lang w:eastAsia="zh-CN"/>
              </w:rPr>
            </w:pPr>
          </w:p>
          <w:p w14:paraId="09006076" w14:textId="77777777" w:rsidR="005121FE" w:rsidRDefault="005121FE">
            <w:pPr>
              <w:spacing w:line="273" w:lineRule="auto"/>
              <w:rPr>
                <w:lang w:eastAsia="zh-CN"/>
              </w:rPr>
            </w:pPr>
          </w:p>
          <w:p w14:paraId="6E813C6C" w14:textId="77777777" w:rsidR="005121FE" w:rsidRDefault="005121FE">
            <w:pPr>
              <w:spacing w:line="274" w:lineRule="auto"/>
              <w:rPr>
                <w:lang w:eastAsia="zh-CN"/>
              </w:rPr>
            </w:pPr>
          </w:p>
          <w:p w14:paraId="6EF7E5DB" w14:textId="77777777" w:rsidR="005121FE" w:rsidRDefault="005121FE">
            <w:pPr>
              <w:spacing w:line="274" w:lineRule="auto"/>
              <w:rPr>
                <w:lang w:eastAsia="zh-CN"/>
              </w:rPr>
            </w:pPr>
          </w:p>
          <w:p w14:paraId="3739EEAE" w14:textId="77777777" w:rsidR="005121FE" w:rsidRDefault="005121FE">
            <w:pPr>
              <w:spacing w:line="274" w:lineRule="auto"/>
              <w:rPr>
                <w:lang w:eastAsia="zh-CN"/>
              </w:rPr>
            </w:pPr>
          </w:p>
          <w:p w14:paraId="4486673F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7333B426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219314F6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2297DE49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373763D9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62FE40B0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4F049D5E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7F15FB88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095F8F30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3204E4CD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00CA6771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6FEEFACB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3E18260C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3F7879BE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0BE350A2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2A990BD4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4C67879A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3AC9F2A4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706E534B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537E5CA8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31B56EFA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186F2D69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7C2DDEA5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06C3676A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11631092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207F7A52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558467FD" w14:textId="77777777" w:rsidR="005121FE" w:rsidRDefault="005121FE">
            <w:pPr>
              <w:spacing w:line="274" w:lineRule="auto"/>
              <w:jc w:val="center"/>
              <w:rPr>
                <w:sz w:val="22"/>
                <w:szCs w:val="22"/>
                <w:lang w:eastAsia="zh-CN"/>
              </w:rPr>
            </w:pPr>
          </w:p>
          <w:p w14:paraId="53964AB2" w14:textId="77777777" w:rsidR="005121FE" w:rsidRDefault="0040129C">
            <w:pPr>
              <w:pStyle w:val="TableText"/>
              <w:spacing w:before="78" w:line="372" w:lineRule="auto"/>
              <w:ind w:left="258" w:right="148" w:hanging="118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11"/>
                <w:sz w:val="24"/>
                <w:szCs w:val="24"/>
                <w:lang w:eastAsia="zh-CN"/>
              </w:rPr>
              <w:t>投资者关系活动</w:t>
            </w:r>
            <w:r>
              <w:rPr>
                <w:b/>
                <w:bCs/>
                <w:spacing w:val="-10"/>
                <w:sz w:val="24"/>
                <w:szCs w:val="24"/>
                <w:lang w:eastAsia="zh-CN"/>
              </w:rPr>
              <w:t>主要内容介绍</w:t>
            </w:r>
          </w:p>
        </w:tc>
        <w:tc>
          <w:tcPr>
            <w:tcW w:w="7938" w:type="dxa"/>
            <w:gridSpan w:val="2"/>
          </w:tcPr>
          <w:p w14:paraId="231300FC" w14:textId="77777777" w:rsidR="005121FE" w:rsidRDefault="0040129C">
            <w:pPr>
              <w:spacing w:line="360" w:lineRule="exact"/>
              <w:ind w:firstLine="42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lastRenderedPageBreak/>
              <w:t>一、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年年度暨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年一季度财务状况</w:t>
            </w:r>
          </w:p>
          <w:p w14:paraId="2B198616" w14:textId="77777777" w:rsidR="005121FE" w:rsidRDefault="0040129C">
            <w:pPr>
              <w:spacing w:line="360" w:lineRule="exact"/>
              <w:ind w:firstLine="42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年，受整体能源化工产品供需偏宽松，价格承压下行的影响。公司实现营收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304.40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亿元，同比下降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16.47%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归母净利润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13.45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亿元，同比下降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54.46%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，经营活动产生的现金流量净额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48.78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亿元，同比下降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14.02%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。</w:t>
            </w:r>
          </w:p>
          <w:p w14:paraId="0D39B8DC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年一季度，公司实现营收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68.59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亿元，同比下降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22.95%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归母净利润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2.36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亿元，同比下降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65.90%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，经营活动产生的现金流量净额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14.60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亿元，同比增长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93.77%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。经营活动产生的现金流量净额增长主要系公司加大回款力度、严控经营支出。</w:t>
            </w:r>
          </w:p>
          <w:p w14:paraId="7A75929B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bookmarkStart w:id="0" w:name="OLE_LINK1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lastRenderedPageBreak/>
              <w:t>2026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年一季度利润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同比下滑主要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原因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说明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一方面由于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一季度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东北亚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LNG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现货价格持续下行导致公司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LNG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国际贸易业务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销售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价差持续收窄，尽管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月份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底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中东冲突带动国际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LNG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现货价格大幅上涨，但国际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LNG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现货计价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通常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提前一个半月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完成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（例如：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月份东北亚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LNG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现货均价早在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月中旬就已完成计价确认）。因此，本轮中东冲突带来的价格上行红利，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仅作用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于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月及以后的国际现货市场，一季度国际现货价格并未享受到涨价利好，受此影响，公司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外购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气业务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板块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利润由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2025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季报盈利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1.94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亿元转亏至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.55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亿元，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影响净利润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2.49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亿元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。同时，一季度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公司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煤炭与煤化工产品销售均价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同比仍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处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低位，尽管二月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底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中东冲突推动国际能源价格上行，但价格传导存在滞后效应，叠加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公司须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履行前期既定销售合同，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一季度内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板块实际受益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时间较少，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致煤炭、煤化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工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板块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业务净利润较上年同期有所减少。综上因素三大板块合计影响利润约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4.5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亿元。</w:t>
            </w:r>
          </w:p>
          <w:bookmarkEnd w:id="0"/>
          <w:p w14:paraId="58E1D120" w14:textId="77777777" w:rsidR="005121FE" w:rsidRDefault="005121FE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highlight w:val="yellow"/>
                <w:lang w:eastAsia="zh-CN"/>
              </w:rPr>
            </w:pPr>
          </w:p>
          <w:p w14:paraId="0B86377A" w14:textId="77777777" w:rsidR="005121FE" w:rsidRDefault="0040129C">
            <w:pPr>
              <w:spacing w:line="360" w:lineRule="exact"/>
              <w:ind w:firstLine="420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二、主营业务经营数据</w:t>
            </w:r>
          </w:p>
          <w:p w14:paraId="370AFDD7" w14:textId="77777777" w:rsidR="005121FE" w:rsidRDefault="0040129C">
            <w:pPr>
              <w:spacing w:line="360" w:lineRule="exact"/>
              <w:ind w:firstLine="420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、煤炭板块：</w:t>
            </w:r>
          </w:p>
          <w:p w14:paraId="3BB8F5A0" w14:textId="77777777" w:rsidR="005121FE" w:rsidRDefault="0040129C">
            <w:pPr>
              <w:spacing w:line="360" w:lineRule="exact"/>
              <w:ind w:firstLine="42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）产量数据（不含自用煤）：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年实现原煤产量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4890.66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万吨，同比增长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22.78%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年一季度实现原煤产量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993.74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万吨，同比下降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29.35%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。</w:t>
            </w:r>
          </w:p>
          <w:p w14:paraId="41B3D0C5" w14:textId="77777777" w:rsidR="005121FE" w:rsidRDefault="0040129C">
            <w:pPr>
              <w:spacing w:line="360" w:lineRule="exact"/>
              <w:ind w:firstLine="42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）销量方面：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年实现煤炭外销量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5300.14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万吨，同比增长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12.21%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年一季度实现煤炭外销量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1290.08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万吨，同比下降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12.18%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。</w:t>
            </w:r>
          </w:p>
          <w:p w14:paraId="2A5CE0A5" w14:textId="77777777" w:rsidR="005121FE" w:rsidRDefault="0040129C">
            <w:pPr>
              <w:spacing w:line="360" w:lineRule="exact"/>
              <w:ind w:firstLine="42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）煤炭外销方面：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年实现疆内销量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1755.13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万吨，同比增长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54.44%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，疆外销量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3545.01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万吨，同比下降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1.17%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年一季度实现疆内销量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546.65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万吨，同比增长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19.28%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，疆外销量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743.43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万吨，同比下降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26.45%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。</w:t>
            </w:r>
          </w:p>
          <w:p w14:paraId="4822F3EE" w14:textId="77777777" w:rsidR="005121FE" w:rsidRDefault="0040129C">
            <w:pPr>
              <w:spacing w:line="360" w:lineRule="exact"/>
              <w:ind w:firstLine="42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）价格方面：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年煤炭销售均价同比下降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20-30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元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吨；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年一季度煤炭销售均价同比基本持平，环比上涨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10-20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元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吨。</w:t>
            </w:r>
          </w:p>
          <w:p w14:paraId="7FF4D111" w14:textId="77777777" w:rsidR="005121FE" w:rsidRDefault="0040129C">
            <w:pPr>
              <w:spacing w:line="360" w:lineRule="exact"/>
              <w:ind w:firstLine="420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、煤化工板块：</w:t>
            </w:r>
          </w:p>
          <w:p w14:paraId="6E0570AF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）甲醇：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年实现产量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106.79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万吨，同比下降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1.01%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年一季度实现产量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28.23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万吨，同比增长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1.60%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。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年甲醇销售均价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1658.82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元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吨，同比下降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6.88%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年一季度甲醇销售均价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1521.16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元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吨，同比下降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13.71%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。</w:t>
            </w:r>
          </w:p>
          <w:p w14:paraId="61C0DEFC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）煤焦油：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年实现产量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60.21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万吨，同比增长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6.05%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年一季度实现产量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15.21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万吨，同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6.23%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。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年煤焦油销售均价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2742.38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元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吨，同比下降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11.44%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年一季度煤焦油销售均价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2378.81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元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吨，同比下降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16.70%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。</w:t>
            </w:r>
          </w:p>
          <w:p w14:paraId="3F375BAA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）乙二醇：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年实现产量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17.95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万吨，同比增长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15.31%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年一季度实现产量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5.61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万吨，同比增长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38.52%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。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年乙二醇销售均价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3258.63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元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吨，同比下降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6.89%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年一季度乙二醇销售均价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2990.49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元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吨，同比下降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20.67%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。</w:t>
            </w:r>
          </w:p>
          <w:p w14:paraId="59E30515" w14:textId="77777777" w:rsidR="004266AA" w:rsidRDefault="004266AA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  <w:p w14:paraId="49C454BC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lastRenderedPageBreak/>
              <w:t>3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、天然气方面：</w:t>
            </w:r>
          </w:p>
          <w:p w14:paraId="0BF3912F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）自产气：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年实现产量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6.57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亿方，同比下降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3.6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8%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年一季度实现产量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1.85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亿方，同比增长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11.44%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。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年销售均价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2.96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元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方，同比下降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7.39%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年一季度销售均价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2.46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元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方，同比下降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18.90%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。</w:t>
            </w:r>
          </w:p>
          <w:p w14:paraId="1A15663C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）外购气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年实现销量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149.52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万吨，同比下降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33.18%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年一季度实现销量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30.37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万吨，同比下降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32.94%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。</w:t>
            </w:r>
          </w:p>
          <w:p w14:paraId="0CC4BC9A" w14:textId="77777777" w:rsidR="005121FE" w:rsidRDefault="005121FE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0AB8B959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三、二季度及后续展望</w:t>
            </w:r>
          </w:p>
          <w:p w14:paraId="6BAB3EF5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、主营产品产量稳中有增，价格稳步提升</w:t>
            </w:r>
          </w:p>
          <w:p w14:paraId="239B1C9D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）煤炭方面：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受国内煤炭供需偏紧、国际市场对煤炭的替代性需求上升及进口量下降的影响，叠加进口煤价的支撑效应与公司煤炭区域供需格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局的优化，当前公司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吨煤净利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稳步提升。同时公司目前日销量稳定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在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15-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万吨。</w:t>
            </w:r>
          </w:p>
          <w:p w14:paraId="10A58430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）煤化工方面；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乙二醇装置换热器检修工作已于一季度顺利完成，产量正逐步回升；与此同时，公司甲醇、煤焦油、乙二醇的销售价格均呈稳步上升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修复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态势，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目前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与国内市场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价格完全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接轨。</w:t>
            </w:r>
          </w:p>
          <w:p w14:paraId="38CCCE0D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）天然气方面：</w:t>
            </w:r>
          </w:p>
          <w:p w14:paraId="24098D6F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自产气：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受中东冲突因素影响，国内天然气价格逐步回升，当前公司天然气销售价格持续向好，与西北天然气市场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价格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接轨。</w:t>
            </w:r>
          </w:p>
          <w:p w14:paraId="2C84AD22" w14:textId="201B6EBB" w:rsidR="005121FE" w:rsidRDefault="0040129C" w:rsidP="00751FB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外购气：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受霍尔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木兹海峡通航受阻影响，公司二季度来自阿联酋的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中东长协气源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履约受限，但公司依托自身近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万吨的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前期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库容储备，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目前已开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始逐步销售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，相关业务有望实现增量盈利，扭转阶段性亏损态势。同时展望下半年，公司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三、四季度长协气源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均来自非中东渠道，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年内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后续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长协业务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将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不再受霍尔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木兹海峡物流因素扰动。</w:t>
            </w:r>
          </w:p>
          <w:p w14:paraId="5E48DAC5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、销售模式调整</w:t>
            </w:r>
          </w:p>
          <w:p w14:paraId="2BFD8F3C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公司销售模式从规模驱动向质量驱动的战略转型，该调整基于当前国内及区域煤炭市场供应形势统筹制定。当前国内煤炭供应整体受国家层面严格管控，叠加国际市场格局影响，煤炭替代需求持续攀升；进口端呈现价格倒挂态势，区域层面来看，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淖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毛湖区域富油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煤需求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逐年增长而供应持续收缩，供需格局持续趋紧。在此背景下，公司白石湖矿区富油煤的稀缺价值日益凸显。</w:t>
            </w:r>
          </w:p>
          <w:p w14:paraId="396CB834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同时哈密地区富油煤的原料煤需求已从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6000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年提升至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8000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年以上，而供应量正逐步缩减。基于此，公司聚焦提升吨煤盈利能力，力争实现整体盈利规模的增长。</w:t>
            </w:r>
          </w:p>
          <w:p w14:paraId="1AE380B4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、项目建设稳步推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进</w:t>
            </w:r>
          </w:p>
          <w:p w14:paraId="24CD3CC1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目前，公司各类项目建设工作稳步推进，重点聚焦油田区块勘探开发与煤化工装置提质增效改造两大领域。在油田区块勘探开发方面，本年度核心工作为落实资源储量、推进勘探开发进程，目前围绕前期发现区块新规划的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lastRenderedPageBreak/>
              <w:t>四口勘探井招标工作已全部完成，本月将启动钻探建设，整个钻探周期约为四个月；钻探完成后，开展储量评估工作，后续将逐步进入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探转采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阶段，在此基础上，公司将逐步制定部分区块开发方案，有序推进开发流程落地。</w:t>
            </w:r>
          </w:p>
          <w:p w14:paraId="70A076E7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在煤化工板块，公司将稳步推进现有煤化工装置提质增效改造工作，重点推进清洁炼化公司富油煤高质化利用及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1500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年煤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炭分级提质项目。其中，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1500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年煤炭分级提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质项目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已完成备案，目前正全力推进能评、环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评相关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工作。清洁炼化公司的富油煤高质化利用改造完成后，相关产品产能规模将提升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40%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以上，盈利能力将得到显著改善。</w:t>
            </w:r>
          </w:p>
          <w:p w14:paraId="56FE5DFF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总体来看，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年及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一季度，公司经营处于承压前行阶段，但从内外部环境转变，尤其是外部环境转变对公司生产经营的利好因素正逐步显现。受中东战争冲突影响，能源价格中枢上升态势中短期内不可逆转，即便冲突停止，油气等能源供应也难以在中短期内恢复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至冲突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前水平，即为公司发展创造了难得的外部有利机遇。</w:t>
            </w:r>
          </w:p>
          <w:p w14:paraId="7768F6FF" w14:textId="77777777" w:rsidR="005121FE" w:rsidRDefault="005121FE">
            <w:pPr>
              <w:spacing w:line="360" w:lineRule="exact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10D87C0A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Q1.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从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全年维度来看，公司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年疆内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与疆外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煤炭销售的比例分配是否会维持一季度的水平，还是会延续去年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以疆外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为主、疆内为辅的格局？</w:t>
            </w:r>
          </w:p>
          <w:p w14:paraId="5C1B5895" w14:textId="49EE3C66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答：公司煤炭销售战略已由规模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驱动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转向质量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驱动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重点聚焦哈密本地煤化工产业，保障区域原料煤稳定供应，持续放大自身煤炭资源价值、提升整体盈利水平。公司白石湖露天煤矿原煤属于国内稀缺富油气煤，资源禀赋优异、稀缺属性显著。原煤经热解分质利用后，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单吨煤炭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可产出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近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百公斤油品，兼具煤、油、气综</w:t>
            </w:r>
            <w:r w:rsidR="00087C23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合利用价值，产品附加值优势突出。现阶段哈密区域已落地多个煤炭分级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提质综合利用新项目，预计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年内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新增原煤配套需求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约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2500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万吨，为公司构建了稳固且高溢价的本地消纳市场。当地煤化工企业对富油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气煤刚需旺盛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，煤价承接能力强、经营韧性充足。基于疆内吨煤盈利优势显著，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年起公司将持续优化销售结构，逐步提高疆内煤炭销售占比，依托优质资源及本地高端消纳渠道，实现企业效益稳步提升。</w:t>
            </w:r>
          </w:p>
          <w:p w14:paraId="20223AE0" w14:textId="77777777" w:rsidR="005121FE" w:rsidRDefault="005121FE">
            <w:pPr>
              <w:spacing w:line="360" w:lineRule="exact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5C3968AF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Q2.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如果国际油气价格持续保持高位，对新疆地区煤炭需求产生增量，新疆区域的煤炭核增产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能政策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是否有望放开？公司后续是否有新的核增产能计划？</w:t>
            </w:r>
          </w:p>
          <w:p w14:paraId="2171DC17" w14:textId="4D236083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答：当前国际油价维持高位，叠加中东冲突持续，国家能源安全战略优先级进一步提升，煤炭作为我国能源保供压舱石的作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用愈发关键。新疆是国内煤炭产能增量核心区域，资源储备充足，有能力、也有意愿持续承担国家能源保供任务。目前新疆“十五五”规划已上报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国家发改委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待规划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批复后，全区煤炭产能核增及释放政策将会进一步明晰。后续</w:t>
            </w:r>
            <w:r w:rsidR="00E36869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公司也将会严格遵循相关政策导向，加快推进东部矿区的核准手续办理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。</w:t>
            </w:r>
          </w:p>
          <w:p w14:paraId="28152204" w14:textId="77777777" w:rsidR="005121FE" w:rsidRDefault="005121FE">
            <w:pPr>
              <w:spacing w:line="360" w:lineRule="exact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4DC6CE1E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lastRenderedPageBreak/>
              <w:t>Q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3.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煤化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工板块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年一季度净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利润环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比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年四季度下降的主要原因是什么？从公开数据看，部分产品均价环比有所抬升。此外，煤焦油等产品产量为何出现下降？</w:t>
            </w:r>
          </w:p>
          <w:p w14:paraId="5EDE267E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答：一季度公司煤化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工板块利润环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比有所下滑，核心影响因素主要为产品销售价格波动。从产品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端来看：甲醇销售均价环比下跌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2.3%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、煤焦油均价环比回落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9.05%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及自产天然气销售价格环比下降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13.42%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，整体影响了煤化工业务盈利水平。从价格传导层面看：现货销售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价格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存在传导滞后性，同时还要履约消化前期存量合同，故未能同步兑现行情上涨收益。此外，受春节假期因素影响，装置生产负荷阶段性下调，煤焦油产出量同比减少，则进一步加剧对一季度板块盈利承压。</w:t>
            </w:r>
          </w:p>
          <w:p w14:paraId="0B77A890" w14:textId="77777777" w:rsidR="005121FE" w:rsidRDefault="005121FE">
            <w:pPr>
              <w:spacing w:line="360" w:lineRule="exact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088A484D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Q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4.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公司天然气业务方面，二季度受中东战争影响的具体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长协量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有多少？库存的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万吨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LNG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能否完全弥补该缺口？后续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长协恢复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正常后，天然气销售定价是参考国际东北亚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LN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G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价格还是欧洲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TTF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价格？</w:t>
            </w:r>
          </w:p>
          <w:p w14:paraId="3C0456FD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答：二季度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的长协货源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均来自中东，目前受战争影响，运输受限，处于无法正常供应的状态，双方正在协商后续事宜。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长协的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定价机制为：成本端挂钩布伦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原油和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Henry Hub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的价格；销售端则根据市场决定。虽然二季度供应受影响，但三季度和四季度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的长协均为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非中东货源，可正常供应。同时，公司存量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万吨天然气库存，将于二季度集中实现销售，相关收益将在二季度当期利润中充分体现。</w:t>
            </w:r>
          </w:p>
          <w:p w14:paraId="105FA512" w14:textId="77777777" w:rsidR="00043FE9" w:rsidRDefault="00043FE9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  <w:p w14:paraId="00E54646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Q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5.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公司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一季度长协天然气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的成本大概是多少？三、四季度是否会补回二季度欠缺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的长协供应量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？</w:t>
            </w:r>
          </w:p>
          <w:p w14:paraId="76C597B6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一季度长协天然气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成本在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9-1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美元之间。受中东冲突这一不可抗力因素影响，公司二季度气量存在欠量，目前公司正积极与上游供应商道达尔沟通协商。</w:t>
            </w:r>
          </w:p>
          <w:p w14:paraId="155A085F" w14:textId="77777777" w:rsidR="005121FE" w:rsidRDefault="005121FE">
            <w:pPr>
              <w:spacing w:line="360" w:lineRule="exact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39FFEF11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Q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6.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公司一季度煤炭业务净利润的月度变动情况如何？公司今年提出从规模驱动转向质量驱动，并可能降低原煤产量目标，具体将如何实现？是通过提高煤炭热值或含油量，还是其他方式？</w:t>
            </w:r>
          </w:p>
          <w:p w14:paraId="05A551D9" w14:textId="02D6F70F" w:rsidR="005121FE" w:rsidRDefault="0040129C" w:rsidP="00EA5653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答：公司煤炭销售定价实行随行就市、灵活调整的市场化机制。今年一季度煤价阶段性低点出现在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月份春节假期期间，自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月起价格稳步回升，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月份进一步上调，价格修复趋势明确。公司自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四季度起正式推进销售策略转型，由过去规模导向逐步切换为质量导向，核心思路是不再将高附加值的富油煤等同于普通动力煤对外销售，而是依据不同煤种的利润弹性动态调控销量结构，坚持以效益最大化为经营目标。当前区域富油煤市场供需格局持续改善，为公司差异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化销售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策略落地创造了良好条件，有效推动吨煤盈利水平快速修复，整体盈利能力实现稳步回升。</w:t>
            </w:r>
          </w:p>
          <w:p w14:paraId="324199FF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lastRenderedPageBreak/>
              <w:t>Q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7.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调整销售结构后，白石湖煤炭的销售均价是否能够提升约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40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元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吨？</w:t>
            </w:r>
          </w:p>
          <w:p w14:paraId="19BD8CE7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答：随着公司持续优化煤炭销售结构、加大高附加值疆内资源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煤销售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占比，整体销售均价具备向上修复空间。后续我们将结合市场行情、区域供需变化动态灵活调整销售定价，根据实际经营情况实时优化价格策略，稳步推动煤炭销售均价实现合理抬升。</w:t>
            </w:r>
          </w:p>
          <w:p w14:paraId="17D3356A" w14:textId="77777777" w:rsidR="005121FE" w:rsidRDefault="005121FE">
            <w:pPr>
              <w:spacing w:line="360" w:lineRule="exact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1CB4DF87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Q8.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公司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2025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年缴纳的水土保持费为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9.66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亿元，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2026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年一季度为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2.8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亿元，该政策未来是否会有变化？新疆地区当前的煤炭资源税税率是多少？</w:t>
            </w:r>
          </w:p>
          <w:p w14:paraId="61F00479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答：目前水土保持补偿费政策无最新调整，公司仍按现行政策要求规范执行，合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缴纳相关费用。新疆当前的煤炭资源税税率为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9%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。</w:t>
            </w:r>
          </w:p>
          <w:p w14:paraId="3A53D895" w14:textId="77777777" w:rsidR="005121FE" w:rsidRDefault="005121FE">
            <w:pPr>
              <w:spacing w:line="360" w:lineRule="exact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275A05A4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Q9.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请介绍新疆</w:t>
            </w:r>
            <w:bookmarkStart w:id="1" w:name="OLE_LINK4"/>
            <w:bookmarkStart w:id="2" w:name="OLE_LINK3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哈密广汇物流</w:t>
            </w:r>
            <w:bookmarkEnd w:id="1"/>
            <w:bookmarkEnd w:id="2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公司的主要业务及其利润贡献方式。甘肃宏汇能源化工公司去年亏损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9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亿元？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  <w:p w14:paraId="43971E7F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答：哈密广汇物流公司主营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淖柳公路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运营，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是公司主营产品外运的主要公路通道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，由此产生的通行费收益及利润，全部体现在煤炭板块当中。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甘肃宏汇是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公司与酒钢集团各持有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50%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股权共同控制的参股公司，亏损主要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原因有：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一是该公司配套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150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万吨末煤热解提质及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50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万吨煤焦油加氢项目，属于新技术产业化示范项目，工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艺路线存在技术难点，目前仍处在连续稳产优化与技改升级阶段；二是该项目于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2024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年底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正式转固，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新增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年度折旧费用超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亿元；三是企业自身经营层面经营性亏损约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亿元，同时年末按照会计准则开展资产减值测试，并相应计提资产减值准备。</w:t>
            </w:r>
          </w:p>
          <w:p w14:paraId="1779D7A3" w14:textId="77777777" w:rsidR="005121FE" w:rsidRDefault="005121FE">
            <w:pPr>
              <w:spacing w:line="360" w:lineRule="exact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38525877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Q10.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公司集中在二季度销售的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LNG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库存，如果在国内销售，客户主要是什么类型？是采用现货挂牌方式还是拥有长期稳定客户？</w:t>
            </w:r>
          </w:p>
          <w:p w14:paraId="4A189550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答：公司当前库存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LNG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均为前期跨境回运的国内现货资源，目前储罐暂未纳入保税库监管范围。现阶段库存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LNG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全部面向国内市场销售，下游主要合作客户为贸易商及城市燃气企业，销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售定价采取随行就市模式。</w:t>
            </w:r>
          </w:p>
          <w:p w14:paraId="2C24EDDD" w14:textId="77777777" w:rsidR="005121FE" w:rsidRDefault="005121FE">
            <w:pPr>
              <w:spacing w:line="360" w:lineRule="exact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1FC5FBEC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Q11.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公司在国际与国内市场之间销售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LNG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的策略是如何考虑的？历史上，何种情况下会选择在国内销售？</w:t>
            </w:r>
          </w:p>
          <w:p w14:paraId="095E4EE6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答：公司的销售策略是以利润为导向，强化目标管理，创新经营业态，科学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判市场形势，统筹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谋划长协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、现货采销策略，有效实施“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2+3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”运营模式，两种输气途径（液进液出、液进气出），三种盈利方式（境内贸易、接卸服务及国际贸易），多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措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并举提升接收站运营效益，实现公司利润最大化。</w:t>
            </w:r>
          </w:p>
          <w:p w14:paraId="02058FF2" w14:textId="77777777" w:rsidR="005121FE" w:rsidRDefault="005121FE">
            <w:pPr>
              <w:spacing w:line="360" w:lineRule="exact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2A6FE7D8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lastRenderedPageBreak/>
              <w:t>Q12.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对下半年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LNG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价格走势有何看法？本轮价格冲击与俄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乌冲突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时期相比有何异同？</w:t>
            </w:r>
          </w:p>
          <w:p w14:paraId="221E1467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答：中短期来看，能源产品价格高位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运行的格局具备较强持续性。当前中东冲突短期内难以快速平息，即便后续局势有所缓和，油气产能修复、运输通道重建等仍需要较长周期，将对国际能源价格形成刚性支撑。同时，全球各国持续强化能源安全保障诉求，进一步提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振传统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油气、煤炭品类的需求韧性。综合判断，年内能源价格大概率维持高位宽幅震荡态势，价格中枢稳固；中长期维度下，国际主流能源价格很难回归冲突前低位水平。整体良好的外部市场环境，也为公司经营发展创造了宝贵的战略窗口期。</w:t>
            </w:r>
          </w:p>
          <w:p w14:paraId="7701701B" w14:textId="77777777" w:rsidR="005121FE" w:rsidRDefault="005121FE">
            <w:pPr>
              <w:spacing w:line="360" w:lineRule="exact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0D36C0F6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Q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13.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公司与上游的年度货源安排是提前确定的，二季度货源来自中东已事先知晓。下半年货源是否可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能临时变更为中东来源，从而再次引发供应问题？</w:t>
            </w:r>
          </w:p>
          <w:p w14:paraId="0895484E" w14:textId="6DAF1E4F" w:rsidR="005121FE" w:rsidRDefault="00291A96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答：公司通常在上一年度末</w:t>
            </w:r>
            <w:r w:rsidR="0040129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确定下一年度整体气源及货源采购规划与供应安排。</w:t>
            </w:r>
          </w:p>
          <w:p w14:paraId="62038EE2" w14:textId="77777777" w:rsidR="005121FE" w:rsidRDefault="005121FE">
            <w:pPr>
              <w:spacing w:line="360" w:lineRule="exact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3D8D56EF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Q14.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公司是否有物色新的天然气长期协议（长约）以增加未来供应增量？</w:t>
            </w:r>
          </w:p>
          <w:p w14:paraId="724CD8B3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答：公司目前已有相关规划部署，正积极寻求并洽谈新增天然气长期协议资源。</w:t>
            </w:r>
          </w:p>
          <w:p w14:paraId="09224EFB" w14:textId="77777777" w:rsidR="005121FE" w:rsidRDefault="005121FE">
            <w:pPr>
              <w:spacing w:line="360" w:lineRule="exact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043CA1B8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Q15.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公司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长协合同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中采用布伦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原油或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Henry Hub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定价，是基于船期来源地（如美国来源用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Henry Hub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）决定的吗？</w:t>
            </w:r>
          </w:p>
          <w:p w14:paraId="2514BB9B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答：不是。定价公式是合同签署前双方商定的核心要素之一，已提前锁定，不可变更，并非根据船期来源地临时决定。</w:t>
            </w:r>
          </w:p>
          <w:p w14:paraId="276DDFC9" w14:textId="77777777" w:rsidR="005121FE" w:rsidRDefault="005121FE">
            <w:pPr>
              <w:spacing w:line="360" w:lineRule="exact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3D2ED785" w14:textId="0FE720B8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Q16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：公司去年转让东部矿区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40%</w:t>
            </w:r>
            <w:r w:rsidR="002B2BF5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股权产生的投资收益有多少？体现在财务报表的哪里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？</w:t>
            </w:r>
          </w:p>
          <w:p w14:paraId="490ED751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公司东部矿区股权转让对应的投资收益暂未满足会计确认条件，因此尚未进行收益确认。按照相关协议约定及企业会计准则要求，该部分款项现阶段暂计入报表其他流动负债科目核算，待后续满足收入确认条件后，再依规进行相应账务处理。</w:t>
            </w:r>
          </w:p>
          <w:p w14:paraId="59671BA3" w14:textId="77777777" w:rsidR="005121FE" w:rsidRDefault="005121FE">
            <w:pPr>
              <w:spacing w:line="360" w:lineRule="exact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  <w:p w14:paraId="639C148E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Q17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：新的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1500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万吨富油煤分级提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质利用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项目在推进能评和环评，大体有个时间表吗？就是大约什么时候能够审核通过？</w:t>
            </w:r>
          </w:p>
          <w:p w14:paraId="75CD6B57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答：关于项目推进相关事宜，目前公司正抓紧推进环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评相关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工作；能评需上报至国家相关部门审批，审批时限存在不确定性，暂无法精准把控。当前，项目基础设计已接近收尾阶段，项目备案工作已提前完成。能评与环评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lastRenderedPageBreak/>
              <w:t>是项目实现实质开工建设的核心关键要素，我们将全力以赴加快推进相关手续办理，积极对接政府相关部门，全力推动手续落地。</w:t>
            </w:r>
          </w:p>
          <w:p w14:paraId="06D4DC30" w14:textId="77777777" w:rsidR="005121FE" w:rsidRDefault="005121FE">
            <w:pPr>
              <w:spacing w:line="360" w:lineRule="exact"/>
              <w:jc w:val="both"/>
              <w:rPr>
                <w:rFonts w:ascii="宋体" w:eastAsia="宋体" w:hAnsi="宋体" w:cs="宋体"/>
                <w:sz w:val="24"/>
                <w:szCs w:val="24"/>
                <w:highlight w:val="yellow"/>
                <w:lang w:eastAsia="zh-CN"/>
              </w:rPr>
            </w:pPr>
          </w:p>
          <w:p w14:paraId="4D0855E5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Q18: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请问推进能评和环评的过程中的难点是什么？</w:t>
            </w:r>
          </w:p>
          <w:p w14:paraId="06DBD7BB" w14:textId="5810570D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答：当前项目推进过程中，核心难点集中体现在双碳管控层面。正如《“十五五”规划纲要》所明确，我国对能耗总量、能耗强度的双碳管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控要求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始终维持严格标准。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00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年煤炭分级提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质项目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当前核心聚焦能评和环评等手续办理，地方政府对该项目也给予了高度支持，目前我们正与地方政府协同发力，共同推进相关指标的上报审批工作。值得一提的是，投资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25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亿元的富油煤</w:t>
            </w:r>
            <w:r w:rsidR="00015A8E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高质化利用改造项目相关审批手续已全部办结，目前正按计划稳步推进。</w:t>
            </w:r>
          </w:p>
          <w:p w14:paraId="05E865D8" w14:textId="77777777" w:rsidR="00015A8E" w:rsidRDefault="00015A8E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bookmarkStart w:id="3" w:name="_GoBack"/>
            <w:bookmarkEnd w:id="3"/>
          </w:p>
          <w:p w14:paraId="3AEFDCBA" w14:textId="77777777" w:rsidR="005121FE" w:rsidRDefault="0040129C">
            <w:pPr>
              <w:spacing w:line="360" w:lineRule="exact"/>
              <w:ind w:firstLineChars="200" w:firstLine="482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Q19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：请问公司与新疆慧能的合作情况如何？新疆慧能预计于五月份投产，它是否与公司存在深度合作关系？是否已开始向公司订购富油煤作为原料煤？</w:t>
            </w:r>
          </w:p>
          <w:p w14:paraId="1EF3A377" w14:textId="77777777" w:rsidR="005121FE" w:rsidRDefault="0040129C">
            <w:pPr>
              <w:spacing w:line="360" w:lineRule="exact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答：</w:t>
            </w:r>
            <w:bookmarkStart w:id="4" w:name="OLE_LINK6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新疆慧能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1500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万吨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年煤炭清洁高效利用项目采用回转窑中低温热解技术，</w:t>
            </w:r>
            <w:bookmarkEnd w:id="4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生产提质煤、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煤焦油及粗煤气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等产品，我公司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白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石湖煤矿生产的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富油煤油气含量高，与该项目原料需求高度适配，具备良好的长期合作基础与合作空间，目前双方正在接洽。</w:t>
            </w:r>
          </w:p>
          <w:p w14:paraId="03D2C22F" w14:textId="77777777" w:rsidR="005121FE" w:rsidRDefault="005121FE">
            <w:pPr>
              <w:pStyle w:val="TableText"/>
              <w:spacing w:line="36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5121FE" w14:paraId="2E6067A5" w14:textId="77777777">
        <w:trPr>
          <w:trHeight w:val="90"/>
        </w:trPr>
        <w:tc>
          <w:tcPr>
            <w:tcW w:w="1967" w:type="dxa"/>
            <w:vAlign w:val="center"/>
          </w:tcPr>
          <w:p w14:paraId="35F45961" w14:textId="77777777" w:rsidR="005121FE" w:rsidRDefault="0040129C">
            <w:pPr>
              <w:pStyle w:val="TableText"/>
              <w:spacing w:before="233" w:line="219" w:lineRule="auto"/>
              <w:jc w:val="center"/>
              <w:rPr>
                <w:b/>
                <w:bCs/>
                <w:spacing w:val="-11"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13"/>
                <w:sz w:val="21"/>
                <w:szCs w:val="21"/>
              </w:rPr>
              <w:lastRenderedPageBreak/>
              <w:t>附件清单（如有</w:t>
            </w:r>
            <w:proofErr w:type="spellEnd"/>
            <w:r>
              <w:rPr>
                <w:b/>
                <w:bCs/>
                <w:spacing w:val="-13"/>
                <w:sz w:val="21"/>
                <w:szCs w:val="21"/>
              </w:rPr>
              <w:t>）</w:t>
            </w:r>
          </w:p>
        </w:tc>
        <w:tc>
          <w:tcPr>
            <w:tcW w:w="7938" w:type="dxa"/>
            <w:gridSpan w:val="2"/>
            <w:vAlign w:val="center"/>
          </w:tcPr>
          <w:p w14:paraId="734DF60E" w14:textId="77777777" w:rsidR="005121FE" w:rsidRDefault="005121FE">
            <w:pPr>
              <w:pStyle w:val="TableText"/>
              <w:spacing w:before="68" w:line="220" w:lineRule="auto"/>
              <w:rPr>
                <w:sz w:val="21"/>
                <w:szCs w:val="21"/>
                <w:lang w:eastAsia="zh-CN"/>
              </w:rPr>
            </w:pPr>
          </w:p>
          <w:p w14:paraId="5E7FE9AC" w14:textId="77777777" w:rsidR="005121FE" w:rsidRDefault="005121FE">
            <w:pPr>
              <w:pStyle w:val="TableText"/>
              <w:spacing w:before="68" w:line="220" w:lineRule="auto"/>
              <w:jc w:val="center"/>
              <w:rPr>
                <w:sz w:val="21"/>
                <w:szCs w:val="21"/>
                <w:lang w:eastAsia="zh-CN"/>
              </w:rPr>
            </w:pPr>
          </w:p>
          <w:p w14:paraId="4B6F2277" w14:textId="77777777" w:rsidR="005121FE" w:rsidRDefault="0040129C">
            <w:pPr>
              <w:pStyle w:val="TableText"/>
              <w:spacing w:before="68" w:line="220" w:lineRule="auto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无</w:t>
            </w:r>
          </w:p>
          <w:p w14:paraId="345E61C3" w14:textId="77777777" w:rsidR="005121FE" w:rsidRDefault="005121FE">
            <w:pPr>
              <w:pStyle w:val="TableText"/>
              <w:spacing w:before="68" w:line="220" w:lineRule="auto"/>
              <w:jc w:val="center"/>
              <w:rPr>
                <w:sz w:val="21"/>
                <w:szCs w:val="21"/>
                <w:lang w:eastAsia="zh-CN"/>
              </w:rPr>
            </w:pPr>
          </w:p>
          <w:p w14:paraId="7A15B8D3" w14:textId="77777777" w:rsidR="005121FE" w:rsidRDefault="005121FE">
            <w:pPr>
              <w:pStyle w:val="TableText"/>
              <w:spacing w:before="68" w:line="220" w:lineRule="auto"/>
              <w:rPr>
                <w:lang w:eastAsia="zh-CN"/>
              </w:rPr>
            </w:pPr>
          </w:p>
        </w:tc>
      </w:tr>
      <w:tr w:rsidR="005121FE" w14:paraId="37E80CB7" w14:textId="77777777">
        <w:trPr>
          <w:trHeight w:val="90"/>
        </w:trPr>
        <w:tc>
          <w:tcPr>
            <w:tcW w:w="1967" w:type="dxa"/>
            <w:vAlign w:val="center"/>
          </w:tcPr>
          <w:p w14:paraId="4374FB7C" w14:textId="77777777" w:rsidR="005121FE" w:rsidRDefault="0040129C">
            <w:pPr>
              <w:pStyle w:val="TableText"/>
              <w:spacing w:before="232" w:line="220" w:lineRule="auto"/>
              <w:ind w:left="44"/>
              <w:jc w:val="center"/>
              <w:rPr>
                <w:b/>
                <w:bCs/>
                <w:spacing w:val="-11"/>
                <w:sz w:val="24"/>
                <w:szCs w:val="24"/>
              </w:rPr>
            </w:pPr>
            <w:r>
              <w:rPr>
                <w:b/>
                <w:bCs/>
                <w:spacing w:val="-25"/>
                <w:sz w:val="21"/>
                <w:szCs w:val="21"/>
              </w:rPr>
              <w:t>日</w:t>
            </w:r>
            <w:r>
              <w:rPr>
                <w:rFonts w:hint="eastAsia"/>
                <w:b/>
                <w:bCs/>
                <w:spacing w:val="-25"/>
                <w:sz w:val="21"/>
                <w:szCs w:val="21"/>
                <w:lang w:eastAsia="zh-CN"/>
              </w:rPr>
              <w:t xml:space="preserve">   </w:t>
            </w:r>
            <w:r>
              <w:rPr>
                <w:b/>
                <w:bCs/>
                <w:spacing w:val="-25"/>
                <w:sz w:val="21"/>
                <w:szCs w:val="21"/>
              </w:rPr>
              <w:t>期</w:t>
            </w:r>
          </w:p>
        </w:tc>
        <w:tc>
          <w:tcPr>
            <w:tcW w:w="7938" w:type="dxa"/>
            <w:gridSpan w:val="2"/>
            <w:vAlign w:val="center"/>
          </w:tcPr>
          <w:p w14:paraId="6A03CB10" w14:textId="77777777" w:rsidR="005121FE" w:rsidRDefault="005121FE">
            <w:pPr>
              <w:pStyle w:val="TableText"/>
              <w:spacing w:before="308" w:line="220" w:lineRule="auto"/>
              <w:ind w:left="25"/>
              <w:jc w:val="center"/>
              <w:rPr>
                <w:spacing w:val="-2"/>
                <w:sz w:val="21"/>
                <w:szCs w:val="21"/>
              </w:rPr>
            </w:pPr>
          </w:p>
          <w:p w14:paraId="0AC06A5A" w14:textId="77777777" w:rsidR="005121FE" w:rsidRDefault="0040129C">
            <w:pPr>
              <w:pStyle w:val="TableText"/>
              <w:spacing w:before="308" w:line="220" w:lineRule="auto"/>
              <w:ind w:left="25"/>
              <w:jc w:val="center"/>
              <w:rPr>
                <w:spacing w:val="-2"/>
                <w:sz w:val="21"/>
                <w:szCs w:val="21"/>
                <w:lang w:eastAsia="zh-CN"/>
              </w:rPr>
            </w:pPr>
            <w:r>
              <w:rPr>
                <w:spacing w:val="-2"/>
                <w:sz w:val="21"/>
                <w:szCs w:val="21"/>
              </w:rPr>
              <w:t>202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6</w:t>
            </w:r>
            <w:r>
              <w:rPr>
                <w:spacing w:val="-2"/>
                <w:sz w:val="21"/>
                <w:szCs w:val="21"/>
              </w:rPr>
              <w:t>年</w:t>
            </w:r>
            <w:r>
              <w:rPr>
                <w:spacing w:val="-2"/>
                <w:sz w:val="21"/>
                <w:szCs w:val="21"/>
              </w:rPr>
              <w:t>0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4</w:t>
            </w:r>
            <w:r>
              <w:rPr>
                <w:spacing w:val="-2"/>
                <w:sz w:val="21"/>
                <w:szCs w:val="21"/>
              </w:rPr>
              <w:t>月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24</w:t>
            </w:r>
            <w:r>
              <w:rPr>
                <w:spacing w:val="-2"/>
                <w:sz w:val="21"/>
                <w:szCs w:val="21"/>
              </w:rPr>
              <w:t>日</w:t>
            </w:r>
          </w:p>
          <w:p w14:paraId="79E09604" w14:textId="77777777" w:rsidR="005121FE" w:rsidRDefault="005121FE">
            <w:pPr>
              <w:pStyle w:val="TableText"/>
              <w:spacing w:before="308" w:line="220" w:lineRule="auto"/>
              <w:ind w:left="25"/>
              <w:jc w:val="center"/>
              <w:rPr>
                <w:lang w:eastAsia="zh-CN"/>
              </w:rPr>
            </w:pPr>
          </w:p>
        </w:tc>
      </w:tr>
    </w:tbl>
    <w:p w14:paraId="5C3CACA8" w14:textId="77777777" w:rsidR="005121FE" w:rsidRDefault="005121FE">
      <w:pPr>
        <w:spacing w:line="89" w:lineRule="auto"/>
        <w:rPr>
          <w:sz w:val="2"/>
        </w:rPr>
      </w:pPr>
    </w:p>
    <w:p w14:paraId="1EB8A39E" w14:textId="77777777" w:rsidR="005121FE" w:rsidRDefault="005121FE">
      <w:pPr>
        <w:spacing w:line="89" w:lineRule="auto"/>
        <w:rPr>
          <w:sz w:val="2"/>
        </w:rPr>
      </w:pPr>
    </w:p>
    <w:p w14:paraId="2C699E2B" w14:textId="77777777" w:rsidR="005121FE" w:rsidRDefault="005121FE">
      <w:pPr>
        <w:spacing w:line="89" w:lineRule="auto"/>
        <w:rPr>
          <w:sz w:val="2"/>
        </w:rPr>
      </w:pPr>
    </w:p>
    <w:p w14:paraId="6AE5B32E" w14:textId="77777777" w:rsidR="005121FE" w:rsidRDefault="005121FE"/>
    <w:sectPr w:rsidR="005121FE">
      <w:footerReference w:type="default" r:id="rId6"/>
      <w:pgSz w:w="11910" w:h="16840"/>
      <w:pgMar w:top="1440" w:right="1080" w:bottom="144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4FB7A" w14:textId="77777777" w:rsidR="0040129C" w:rsidRDefault="0040129C">
      <w:r>
        <w:separator/>
      </w:r>
    </w:p>
  </w:endnote>
  <w:endnote w:type="continuationSeparator" w:id="0">
    <w:p w14:paraId="589D83A3" w14:textId="77777777" w:rsidR="0040129C" w:rsidRDefault="0040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6597027"/>
      <w:docPartObj>
        <w:docPartGallery w:val="AutoText"/>
      </w:docPartObj>
    </w:sdtPr>
    <w:sdtEndPr/>
    <w:sdtContent>
      <w:p w14:paraId="6032CDF2" w14:textId="77777777" w:rsidR="005121FE" w:rsidRDefault="004012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A8E" w:rsidRPr="00015A8E">
          <w:rPr>
            <w:noProof/>
            <w:lang w:val="zh-CN" w:eastAsia="zh-CN"/>
          </w:rPr>
          <w:t>7</w:t>
        </w:r>
        <w:r>
          <w:fldChar w:fldCharType="end"/>
        </w:r>
      </w:p>
    </w:sdtContent>
  </w:sdt>
  <w:p w14:paraId="2C286C2D" w14:textId="77777777" w:rsidR="005121FE" w:rsidRDefault="005121F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D9323" w14:textId="77777777" w:rsidR="0040129C" w:rsidRDefault="0040129C">
      <w:r>
        <w:separator/>
      </w:r>
    </w:p>
  </w:footnote>
  <w:footnote w:type="continuationSeparator" w:id="0">
    <w:p w14:paraId="6113DAD5" w14:textId="77777777" w:rsidR="0040129C" w:rsidRDefault="00401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7D"/>
    <w:rsid w:val="00015A8E"/>
    <w:rsid w:val="00043FE9"/>
    <w:rsid w:val="00087C23"/>
    <w:rsid w:val="000A4A72"/>
    <w:rsid w:val="000B5404"/>
    <w:rsid w:val="000E7CF4"/>
    <w:rsid w:val="000F0077"/>
    <w:rsid w:val="000F6A04"/>
    <w:rsid w:val="00114D7D"/>
    <w:rsid w:val="00126014"/>
    <w:rsid w:val="00132901"/>
    <w:rsid w:val="00185DE5"/>
    <w:rsid w:val="00197479"/>
    <w:rsid w:val="001A3664"/>
    <w:rsid w:val="001A5705"/>
    <w:rsid w:val="001A5F77"/>
    <w:rsid w:val="001F0582"/>
    <w:rsid w:val="001F7917"/>
    <w:rsid w:val="00221168"/>
    <w:rsid w:val="002245FC"/>
    <w:rsid w:val="00237434"/>
    <w:rsid w:val="002875BE"/>
    <w:rsid w:val="00291A96"/>
    <w:rsid w:val="002B2BF5"/>
    <w:rsid w:val="002B5C8F"/>
    <w:rsid w:val="002C292B"/>
    <w:rsid w:val="002F7BE3"/>
    <w:rsid w:val="003137D5"/>
    <w:rsid w:val="00320AC3"/>
    <w:rsid w:val="00336FAE"/>
    <w:rsid w:val="0033793B"/>
    <w:rsid w:val="003D4197"/>
    <w:rsid w:val="0040129C"/>
    <w:rsid w:val="004054BF"/>
    <w:rsid w:val="004266AA"/>
    <w:rsid w:val="00432438"/>
    <w:rsid w:val="00450CF9"/>
    <w:rsid w:val="004731F4"/>
    <w:rsid w:val="00487778"/>
    <w:rsid w:val="004A7B3B"/>
    <w:rsid w:val="005121FE"/>
    <w:rsid w:val="005224F6"/>
    <w:rsid w:val="00524508"/>
    <w:rsid w:val="00530A32"/>
    <w:rsid w:val="005E4038"/>
    <w:rsid w:val="005F0939"/>
    <w:rsid w:val="0060531B"/>
    <w:rsid w:val="00610806"/>
    <w:rsid w:val="006259E0"/>
    <w:rsid w:val="00633C27"/>
    <w:rsid w:val="0067089C"/>
    <w:rsid w:val="00693058"/>
    <w:rsid w:val="006A1527"/>
    <w:rsid w:val="006C2F7D"/>
    <w:rsid w:val="006E59CA"/>
    <w:rsid w:val="007148FE"/>
    <w:rsid w:val="00745A89"/>
    <w:rsid w:val="00751FBC"/>
    <w:rsid w:val="00771C0E"/>
    <w:rsid w:val="0078729F"/>
    <w:rsid w:val="007C3EF3"/>
    <w:rsid w:val="007F5D0C"/>
    <w:rsid w:val="008111ED"/>
    <w:rsid w:val="00843BE8"/>
    <w:rsid w:val="00844E9D"/>
    <w:rsid w:val="008617E6"/>
    <w:rsid w:val="008D138C"/>
    <w:rsid w:val="008D41D2"/>
    <w:rsid w:val="008E2EAF"/>
    <w:rsid w:val="008E74D3"/>
    <w:rsid w:val="00933283"/>
    <w:rsid w:val="009B6A0A"/>
    <w:rsid w:val="009F1ED5"/>
    <w:rsid w:val="00A57D5F"/>
    <w:rsid w:val="00A62AF3"/>
    <w:rsid w:val="00A74B2E"/>
    <w:rsid w:val="00AA0FFB"/>
    <w:rsid w:val="00AE62A3"/>
    <w:rsid w:val="00AF1166"/>
    <w:rsid w:val="00B007F9"/>
    <w:rsid w:val="00B22DEE"/>
    <w:rsid w:val="00B93DBF"/>
    <w:rsid w:val="00BA2CEB"/>
    <w:rsid w:val="00BE64D8"/>
    <w:rsid w:val="00BF55DD"/>
    <w:rsid w:val="00C40B11"/>
    <w:rsid w:val="00C64BEB"/>
    <w:rsid w:val="00CA29CA"/>
    <w:rsid w:val="00CC64FF"/>
    <w:rsid w:val="00CE74E3"/>
    <w:rsid w:val="00D66713"/>
    <w:rsid w:val="00DA2427"/>
    <w:rsid w:val="00E36869"/>
    <w:rsid w:val="00E64DAD"/>
    <w:rsid w:val="00E80671"/>
    <w:rsid w:val="00E914FB"/>
    <w:rsid w:val="00EA5653"/>
    <w:rsid w:val="00EC6110"/>
    <w:rsid w:val="00ED2CEC"/>
    <w:rsid w:val="00F11733"/>
    <w:rsid w:val="00F125BC"/>
    <w:rsid w:val="00F50328"/>
    <w:rsid w:val="00F94AE7"/>
    <w:rsid w:val="00FF2082"/>
    <w:rsid w:val="01883901"/>
    <w:rsid w:val="01BD7A4F"/>
    <w:rsid w:val="030F54CC"/>
    <w:rsid w:val="03CA29C7"/>
    <w:rsid w:val="05143B80"/>
    <w:rsid w:val="05821D18"/>
    <w:rsid w:val="07261BF2"/>
    <w:rsid w:val="08C2417F"/>
    <w:rsid w:val="0A5F5B47"/>
    <w:rsid w:val="0A7E581C"/>
    <w:rsid w:val="0BD229F1"/>
    <w:rsid w:val="0DED7863"/>
    <w:rsid w:val="0E653000"/>
    <w:rsid w:val="0E6A1E4A"/>
    <w:rsid w:val="0EFA41DB"/>
    <w:rsid w:val="11BF36B6"/>
    <w:rsid w:val="12220B51"/>
    <w:rsid w:val="12F86B39"/>
    <w:rsid w:val="137A4F81"/>
    <w:rsid w:val="13DD5026"/>
    <w:rsid w:val="13F04D2D"/>
    <w:rsid w:val="16322361"/>
    <w:rsid w:val="18014470"/>
    <w:rsid w:val="1A1008D4"/>
    <w:rsid w:val="1CCF5B1C"/>
    <w:rsid w:val="1DB47B00"/>
    <w:rsid w:val="1E0C793C"/>
    <w:rsid w:val="1E5E7A6C"/>
    <w:rsid w:val="1F2E5690"/>
    <w:rsid w:val="21BD7724"/>
    <w:rsid w:val="24030587"/>
    <w:rsid w:val="24CF6FCD"/>
    <w:rsid w:val="25C32DFD"/>
    <w:rsid w:val="282C77C8"/>
    <w:rsid w:val="2901302E"/>
    <w:rsid w:val="296A5517"/>
    <w:rsid w:val="29841E1A"/>
    <w:rsid w:val="29A50C45"/>
    <w:rsid w:val="2A432125"/>
    <w:rsid w:val="2A4C7C4B"/>
    <w:rsid w:val="2CFA0557"/>
    <w:rsid w:val="2FF67B04"/>
    <w:rsid w:val="314822F5"/>
    <w:rsid w:val="31EF7018"/>
    <w:rsid w:val="33964F33"/>
    <w:rsid w:val="33AD7074"/>
    <w:rsid w:val="34242218"/>
    <w:rsid w:val="35B54FC1"/>
    <w:rsid w:val="37446E85"/>
    <w:rsid w:val="37AC22ED"/>
    <w:rsid w:val="37E42938"/>
    <w:rsid w:val="38823E16"/>
    <w:rsid w:val="39495A88"/>
    <w:rsid w:val="3A6F486B"/>
    <w:rsid w:val="3AE72E6B"/>
    <w:rsid w:val="3BC52C1E"/>
    <w:rsid w:val="3D092B74"/>
    <w:rsid w:val="3D6F0FBA"/>
    <w:rsid w:val="3D945192"/>
    <w:rsid w:val="3DA07301"/>
    <w:rsid w:val="3DF56547"/>
    <w:rsid w:val="3E0F7557"/>
    <w:rsid w:val="3FA356C7"/>
    <w:rsid w:val="401E1B75"/>
    <w:rsid w:val="403D18AE"/>
    <w:rsid w:val="407927B7"/>
    <w:rsid w:val="408056CC"/>
    <w:rsid w:val="41390199"/>
    <w:rsid w:val="413E0517"/>
    <w:rsid w:val="41E01CE7"/>
    <w:rsid w:val="426C3402"/>
    <w:rsid w:val="44234D26"/>
    <w:rsid w:val="446F7A2D"/>
    <w:rsid w:val="447A4D50"/>
    <w:rsid w:val="4497145E"/>
    <w:rsid w:val="46464CA6"/>
    <w:rsid w:val="469F0913"/>
    <w:rsid w:val="46CB3641"/>
    <w:rsid w:val="48212BE3"/>
    <w:rsid w:val="4A183041"/>
    <w:rsid w:val="4AA30431"/>
    <w:rsid w:val="4AB47149"/>
    <w:rsid w:val="4C787385"/>
    <w:rsid w:val="4D1F1116"/>
    <w:rsid w:val="4DA16EA9"/>
    <w:rsid w:val="4DA25B6E"/>
    <w:rsid w:val="4EE9065B"/>
    <w:rsid w:val="4F3C2E33"/>
    <w:rsid w:val="4FED4628"/>
    <w:rsid w:val="508E282B"/>
    <w:rsid w:val="514C5F8F"/>
    <w:rsid w:val="527C5F55"/>
    <w:rsid w:val="545E206C"/>
    <w:rsid w:val="54E049C9"/>
    <w:rsid w:val="54EE6F59"/>
    <w:rsid w:val="55320D2F"/>
    <w:rsid w:val="55F96A00"/>
    <w:rsid w:val="565E627F"/>
    <w:rsid w:val="56AE3C10"/>
    <w:rsid w:val="56ED0ABE"/>
    <w:rsid w:val="58CE6FC1"/>
    <w:rsid w:val="5A1D0200"/>
    <w:rsid w:val="5A366373"/>
    <w:rsid w:val="5AD85C2E"/>
    <w:rsid w:val="5CFF3454"/>
    <w:rsid w:val="5DD45D06"/>
    <w:rsid w:val="5E035507"/>
    <w:rsid w:val="5E33114C"/>
    <w:rsid w:val="5E6160E7"/>
    <w:rsid w:val="5E941B9A"/>
    <w:rsid w:val="5F5B557E"/>
    <w:rsid w:val="604A517F"/>
    <w:rsid w:val="61C43B53"/>
    <w:rsid w:val="637D3ABD"/>
    <w:rsid w:val="63C948C4"/>
    <w:rsid w:val="652C22BE"/>
    <w:rsid w:val="652C4416"/>
    <w:rsid w:val="66464CBC"/>
    <w:rsid w:val="672D1356"/>
    <w:rsid w:val="67961102"/>
    <w:rsid w:val="68253764"/>
    <w:rsid w:val="68553172"/>
    <w:rsid w:val="68E6049F"/>
    <w:rsid w:val="68FD780B"/>
    <w:rsid w:val="6A553F09"/>
    <w:rsid w:val="6B9B646D"/>
    <w:rsid w:val="6B9D6AAA"/>
    <w:rsid w:val="6BC8166A"/>
    <w:rsid w:val="6C64581A"/>
    <w:rsid w:val="6DA63F32"/>
    <w:rsid w:val="740074BA"/>
    <w:rsid w:val="744321B9"/>
    <w:rsid w:val="74A8783F"/>
    <w:rsid w:val="74F57957"/>
    <w:rsid w:val="751853F4"/>
    <w:rsid w:val="752E01E8"/>
    <w:rsid w:val="772E2479"/>
    <w:rsid w:val="79B50936"/>
    <w:rsid w:val="79F006ED"/>
    <w:rsid w:val="7A323DAB"/>
    <w:rsid w:val="7A814F1E"/>
    <w:rsid w:val="7EEF18BB"/>
    <w:rsid w:val="7FA7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317DF3-6606-4FF9-AF4B-F291F1B0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Char">
    <w:name w:val="页脚 Char"/>
    <w:basedOn w:val="a0"/>
    <w:link w:val="a3"/>
    <w:uiPriority w:val="99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1102</Words>
  <Characters>6288</Characters>
  <Application>Microsoft Office Word</Application>
  <DocSecurity>0</DocSecurity>
  <Lines>52</Lines>
  <Paragraphs>14</Paragraphs>
  <ScaleCrop>false</ScaleCrop>
  <Company>P R C</Company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Windows User</cp:lastModifiedBy>
  <cp:revision>731</cp:revision>
  <cp:lastPrinted>2026-04-24T13:32:00Z</cp:lastPrinted>
  <dcterms:created xsi:type="dcterms:W3CDTF">2026-04-24T12:43:00Z</dcterms:created>
  <dcterms:modified xsi:type="dcterms:W3CDTF">2026-04-25T04:17:00Z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2026-04-24T15:49:31Z</vt:filetime>
  </property>
  <property fmtid="{D5CDD505-2E9C-101B-9397-08002B2CF9AE}" pid="4" name="KSOTemplateDocerSaveRecord">
    <vt:lpwstr>eyJoZGlkIjoiMDU4NzBkODE3OTZiMTI1ZTBlMTM4ZTg4YmZlODdjNDYiLCJ1c2VySWQiOiI0MDkyNTY1MTgifQ==</vt:lpwstr>
  </property>
  <property fmtid="{D5CDD505-2E9C-101B-9397-08002B2CF9AE}" pid="5" name="KSOProductBuildVer">
    <vt:lpwstr>2052-12.1.0.25865</vt:lpwstr>
  </property>
  <property fmtid="{D5CDD505-2E9C-101B-9397-08002B2CF9AE}" pid="6" name="ICV">
    <vt:lpwstr>BCE472AAD5B04317B512D3F543444BE9_13</vt:lpwstr>
  </property>
</Properties>
</file>