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C632" w14:textId="77777777" w:rsidR="00A743FF" w:rsidRDefault="00000000">
      <w:pPr>
        <w:pStyle w:val="p1"/>
        <w:widowControl/>
        <w:ind w:firstLine="0"/>
        <w:jc w:val="center"/>
        <w:rPr>
          <w:rStyle w:val="s1"/>
          <w:rFonts w:asciiTheme="majorEastAsia" w:eastAsiaTheme="majorEastAsia" w:hAnsiTheme="majorEastAsia" w:hint="default"/>
        </w:rPr>
      </w:pPr>
      <w:r>
        <w:rPr>
          <w:rStyle w:val="s1"/>
          <w:rFonts w:asciiTheme="majorEastAsia" w:eastAsiaTheme="majorEastAsia" w:hAnsiTheme="majorEastAsia" w:hint="default"/>
        </w:rPr>
        <w:t>证券代码：</w:t>
      </w:r>
      <w:r>
        <w:rPr>
          <w:rStyle w:val="s2"/>
          <w:rFonts w:asciiTheme="majorEastAsia" w:eastAsiaTheme="majorEastAsia" w:hAnsiTheme="majorEastAsia"/>
        </w:rPr>
        <w:t>605296</w:t>
      </w:r>
      <w:r>
        <w:rPr>
          <w:rFonts w:asciiTheme="majorEastAsia" w:eastAsiaTheme="majorEastAsia" w:hAnsiTheme="majorEastAsia"/>
        </w:rPr>
        <w:t xml:space="preserve">                            </w:t>
      </w:r>
      <w:r>
        <w:rPr>
          <w:rStyle w:val="s1"/>
          <w:rFonts w:asciiTheme="majorEastAsia" w:eastAsiaTheme="majorEastAsia" w:hAnsiTheme="majorEastAsia" w:hint="default"/>
        </w:rPr>
        <w:t>证券简称：神农集团</w:t>
      </w:r>
    </w:p>
    <w:p w14:paraId="45FC3E38" w14:textId="77777777" w:rsidR="00A743FF" w:rsidRDefault="00A743FF">
      <w:pPr>
        <w:pStyle w:val="p1"/>
        <w:widowControl/>
        <w:ind w:firstLine="0"/>
        <w:jc w:val="center"/>
        <w:rPr>
          <w:rFonts w:asciiTheme="majorEastAsia" w:eastAsiaTheme="majorEastAsia" w:hAnsiTheme="majorEastAsia" w:hint="eastAsia"/>
        </w:rPr>
      </w:pPr>
    </w:p>
    <w:p w14:paraId="141FF9F0" w14:textId="77777777" w:rsidR="00A743FF" w:rsidRDefault="00000000">
      <w:pPr>
        <w:pStyle w:val="p2"/>
        <w:widowControl/>
        <w:rPr>
          <w:rFonts w:asciiTheme="majorEastAsia" w:eastAsiaTheme="majorEastAsia" w:hAnsiTheme="majorEastAsia"/>
          <w:sz w:val="28"/>
          <w:szCs w:val="28"/>
        </w:rPr>
      </w:pPr>
      <w:r>
        <w:rPr>
          <w:rStyle w:val="s2"/>
          <w:rFonts w:asciiTheme="majorEastAsia" w:eastAsiaTheme="majorEastAsia" w:hAnsiTheme="majorEastAsia"/>
          <w:b/>
          <w:bCs/>
          <w:sz w:val="28"/>
          <w:szCs w:val="28"/>
        </w:rPr>
        <w:t>云南神农农业产业集团股份有限公司投资者关系活动记录表</w:t>
      </w:r>
    </w:p>
    <w:p w14:paraId="712E62C8" w14:textId="77777777" w:rsidR="00A743FF" w:rsidRDefault="00000000">
      <w:pPr>
        <w:pStyle w:val="p3"/>
        <w:widowControl/>
        <w:rPr>
          <w:rFonts w:ascii="宋体" w:eastAsia="宋体" w:hAnsi="宋体" w:hint="eastAsia"/>
        </w:rPr>
      </w:pPr>
      <w:r>
        <w:rPr>
          <w:rStyle w:val="s1"/>
          <w:rFonts w:ascii="宋体" w:eastAsia="宋体" w:hAnsi="宋体" w:hint="default"/>
        </w:rPr>
        <w:t>编号：</w:t>
      </w:r>
      <w:r>
        <w:rPr>
          <w:rStyle w:val="s2"/>
          <w:rFonts w:ascii="宋体" w:eastAsia="宋体" w:hAnsi="宋体"/>
        </w:rPr>
        <w:t>202</w:t>
      </w:r>
      <w:r>
        <w:rPr>
          <w:rStyle w:val="s2"/>
          <w:rFonts w:ascii="宋体" w:eastAsia="宋体" w:hAnsi="宋体" w:hint="eastAsia"/>
        </w:rPr>
        <w:t>60425</w:t>
      </w:r>
    </w:p>
    <w:tbl>
      <w:tblPr>
        <w:tblW w:w="0" w:type="auto"/>
        <w:tblCellMar>
          <w:left w:w="0" w:type="dxa"/>
          <w:right w:w="0" w:type="dxa"/>
        </w:tblCellMar>
        <w:tblLook w:val="04A0" w:firstRow="1" w:lastRow="0" w:firstColumn="1" w:lastColumn="0" w:noHBand="0" w:noVBand="1"/>
      </w:tblPr>
      <w:tblGrid>
        <w:gridCol w:w="1165"/>
        <w:gridCol w:w="7301"/>
      </w:tblGrid>
      <w:tr w:rsidR="00A743FF" w14:paraId="53EDBAEB" w14:textId="77777777">
        <w:trPr>
          <w:trHeight w:val="216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4A4FB75" w14:textId="77777777"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t>投资者关系活动类别</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55223C4" w14:textId="77777777" w:rsidR="00A743FF" w:rsidRDefault="00000000">
            <w:pPr>
              <w:pStyle w:val="p5"/>
              <w:widowControl/>
              <w:spacing w:after="0" w:line="480" w:lineRule="auto"/>
              <w:rPr>
                <w:rStyle w:val="s2"/>
                <w:rFonts w:asciiTheme="minorEastAsia" w:eastAsiaTheme="minorEastAsia" w:hAnsiTheme="minorEastAsia" w:cs="Songti SC Regular" w:hint="eastAsia"/>
              </w:rPr>
            </w:pPr>
            <w:r>
              <w:rPr>
                <w:rStyle w:val="s3"/>
                <w:rFonts w:asciiTheme="minorEastAsia" w:eastAsiaTheme="minorEastAsia" w:hAnsiTheme="minorEastAsia" w:cs="Songti SC Regular" w:hint="eastAsia"/>
              </w:rPr>
              <w:t>□</w:t>
            </w:r>
            <w:r>
              <w:rPr>
                <w:rStyle w:val="s2"/>
                <w:rFonts w:asciiTheme="minorEastAsia" w:eastAsiaTheme="minorEastAsia" w:hAnsiTheme="minorEastAsia" w:cs="Songti SC Regular" w:hint="eastAsia"/>
              </w:rPr>
              <w:t>特定对象调研</w:t>
            </w:r>
            <w:r>
              <w:rPr>
                <w:rStyle w:val="s4"/>
                <w:rFonts w:asciiTheme="minorEastAsia" w:eastAsiaTheme="minorEastAsia" w:hAnsiTheme="minorEastAsia" w:cs="Songti SC Regular" w:hint="eastAsia"/>
              </w:rPr>
              <w:t xml:space="preserve"> </w:t>
            </w:r>
            <w:r>
              <w:rPr>
                <w:rStyle w:val="s4"/>
                <w:rFonts w:asciiTheme="minorEastAsia" w:eastAsiaTheme="minorEastAsia" w:hAnsiTheme="minorEastAsia" w:cs="Songti SC Regular"/>
              </w:rPr>
              <w:t xml:space="preserve">  </w:t>
            </w:r>
            <w:r>
              <w:rPr>
                <w:rStyle w:val="s3"/>
                <w:rFonts w:asciiTheme="minorEastAsia" w:eastAsiaTheme="minorEastAsia" w:hAnsiTheme="minorEastAsia" w:cs="Songti SC Regular" w:hint="eastAsia"/>
              </w:rPr>
              <w:t>□</w:t>
            </w:r>
            <w:r>
              <w:rPr>
                <w:rStyle w:val="s2"/>
                <w:rFonts w:asciiTheme="minorEastAsia" w:eastAsiaTheme="minorEastAsia" w:hAnsiTheme="minorEastAsia" w:cs="Songti SC Regular" w:hint="eastAsia"/>
              </w:rPr>
              <w:t>分析师会议</w:t>
            </w:r>
          </w:p>
          <w:p w14:paraId="47878E7B" w14:textId="77777777" w:rsidR="00A743FF" w:rsidRDefault="00000000">
            <w:pPr>
              <w:pStyle w:val="p5"/>
              <w:widowControl/>
              <w:spacing w:after="0" w:line="480" w:lineRule="auto"/>
              <w:rPr>
                <w:rStyle w:val="s2"/>
                <w:rFonts w:asciiTheme="minorEastAsia" w:eastAsiaTheme="minorEastAsia" w:hAnsiTheme="minorEastAsia" w:cs="Songti SC Regular" w:hint="eastAsia"/>
              </w:rPr>
            </w:pPr>
            <w:r>
              <w:rPr>
                <w:rStyle w:val="s3"/>
                <w:rFonts w:asciiTheme="minorEastAsia" w:eastAsiaTheme="minorEastAsia" w:hAnsiTheme="minorEastAsia" w:cs="Songti SC Regular" w:hint="eastAsia"/>
              </w:rPr>
              <w:t>□</w:t>
            </w:r>
            <w:r>
              <w:rPr>
                <w:rStyle w:val="s2"/>
                <w:rFonts w:asciiTheme="minorEastAsia" w:eastAsiaTheme="minorEastAsia" w:hAnsiTheme="minorEastAsia" w:cs="Songti SC Regular" w:hint="eastAsia"/>
              </w:rPr>
              <w:t>媒体采访</w:t>
            </w:r>
            <w:r>
              <w:rPr>
                <w:rStyle w:val="s4"/>
                <w:rFonts w:asciiTheme="minorEastAsia" w:eastAsiaTheme="minorEastAsia" w:hAnsiTheme="minorEastAsia" w:cs="Songti SC Regular" w:hint="eastAsia"/>
              </w:rPr>
              <w:t xml:space="preserve"> </w:t>
            </w:r>
            <w:r>
              <w:rPr>
                <w:rStyle w:val="s4"/>
                <w:rFonts w:asciiTheme="minorEastAsia" w:eastAsiaTheme="minorEastAsia" w:hAnsiTheme="minorEastAsia" w:cs="Songti SC Regular"/>
              </w:rPr>
              <w:t xml:space="preserve">      </w:t>
            </w:r>
            <w:r>
              <w:rPr>
                <w:rStyle w:val="s3"/>
                <w:rFonts w:asciiTheme="minorEastAsia" w:eastAsiaTheme="minorEastAsia" w:hAnsiTheme="minorEastAsia" w:cs="Songti SC Regular" w:hint="eastAsia"/>
              </w:rPr>
              <w:t>□</w:t>
            </w:r>
            <w:r>
              <w:rPr>
                <w:rStyle w:val="s2"/>
                <w:rFonts w:asciiTheme="minorEastAsia" w:eastAsiaTheme="minorEastAsia" w:hAnsiTheme="minorEastAsia" w:cs="Songti SC Regular" w:hint="eastAsia"/>
              </w:rPr>
              <w:t>业绩说明会</w:t>
            </w:r>
          </w:p>
          <w:p w14:paraId="58CD5DBA" w14:textId="77777777" w:rsidR="00A743FF" w:rsidRDefault="00000000">
            <w:pPr>
              <w:pStyle w:val="p5"/>
              <w:widowControl/>
              <w:spacing w:after="0" w:line="480" w:lineRule="auto"/>
              <w:rPr>
                <w:rStyle w:val="s2"/>
                <w:rFonts w:asciiTheme="minorEastAsia" w:eastAsiaTheme="minorEastAsia" w:hAnsiTheme="minorEastAsia" w:cs="Songti SC Regular" w:hint="eastAsia"/>
              </w:rPr>
            </w:pPr>
            <w:r>
              <w:rPr>
                <w:rStyle w:val="s3"/>
                <w:rFonts w:asciiTheme="minorEastAsia" w:eastAsiaTheme="minorEastAsia" w:hAnsiTheme="minorEastAsia" w:cs="Songti SC Regular" w:hint="eastAsia"/>
              </w:rPr>
              <w:t>□</w:t>
            </w:r>
            <w:r>
              <w:rPr>
                <w:rStyle w:val="s2"/>
                <w:rFonts w:asciiTheme="minorEastAsia" w:eastAsiaTheme="minorEastAsia" w:hAnsiTheme="minorEastAsia" w:cs="Songti SC Regular" w:hint="eastAsia"/>
              </w:rPr>
              <w:t>新闻发布会</w:t>
            </w:r>
            <w:r>
              <w:rPr>
                <w:rStyle w:val="s4"/>
                <w:rFonts w:asciiTheme="minorEastAsia" w:eastAsiaTheme="minorEastAsia" w:hAnsiTheme="minorEastAsia" w:cs="Songti SC Regular" w:hint="eastAsia"/>
              </w:rPr>
              <w:t xml:space="preserve"> </w:t>
            </w:r>
            <w:r>
              <w:rPr>
                <w:rStyle w:val="s4"/>
                <w:rFonts w:asciiTheme="minorEastAsia" w:eastAsiaTheme="minorEastAsia" w:hAnsiTheme="minorEastAsia" w:cs="Songti SC Regular"/>
              </w:rPr>
              <w:t xml:space="preserve">    </w:t>
            </w:r>
            <w:r>
              <w:rPr>
                <w:rStyle w:val="s3"/>
                <w:rFonts w:asciiTheme="minorEastAsia" w:eastAsiaTheme="minorEastAsia" w:hAnsiTheme="minorEastAsia" w:cs="Songti SC Regular" w:hint="eastAsia"/>
              </w:rPr>
              <w:t>□</w:t>
            </w:r>
            <w:r>
              <w:rPr>
                <w:rStyle w:val="s2"/>
                <w:rFonts w:asciiTheme="minorEastAsia" w:eastAsiaTheme="minorEastAsia" w:hAnsiTheme="minorEastAsia" w:cs="Songti SC Regular" w:hint="eastAsia"/>
              </w:rPr>
              <w:t>路演活动</w:t>
            </w:r>
          </w:p>
          <w:p w14:paraId="784BC86D" w14:textId="77777777" w:rsidR="00A743FF" w:rsidRDefault="00000000">
            <w:pPr>
              <w:pStyle w:val="p5"/>
              <w:widowControl/>
              <w:spacing w:after="0" w:line="480" w:lineRule="auto"/>
              <w:rPr>
                <w:rStyle w:val="s2"/>
                <w:rFonts w:asciiTheme="minorEastAsia" w:eastAsiaTheme="minorEastAsia" w:hAnsiTheme="minorEastAsia" w:cs="Songti SC Regular" w:hint="eastAsia"/>
              </w:rPr>
            </w:pPr>
            <w:r>
              <w:rPr>
                <w:rStyle w:val="s4"/>
                <w:rFonts w:asciiTheme="minorEastAsia" w:eastAsiaTheme="minorEastAsia" w:hAnsiTheme="minorEastAsia" w:cs="Songti SC Regular"/>
              </w:rPr>
              <w:fldChar w:fldCharType="begin"/>
            </w:r>
            <w:r>
              <w:rPr>
                <w:rStyle w:val="s4"/>
                <w:rFonts w:asciiTheme="minorEastAsia" w:eastAsiaTheme="minorEastAsia" w:hAnsiTheme="minorEastAsia" w:cs="Songti SC Regular"/>
              </w:rPr>
              <w:instrText xml:space="preserve"> eq \o\ac(□)</w:instrText>
            </w:r>
            <w:r>
              <w:rPr>
                <w:rStyle w:val="s4"/>
                <w:rFonts w:asciiTheme="minorEastAsia" w:eastAsiaTheme="minorEastAsia" w:hAnsiTheme="minorEastAsia" w:cs="Songti SC Regular"/>
              </w:rPr>
              <w:fldChar w:fldCharType="end"/>
            </w:r>
            <w:r>
              <w:rPr>
                <w:rStyle w:val="s2"/>
                <w:rFonts w:asciiTheme="minorEastAsia" w:eastAsiaTheme="minorEastAsia" w:hAnsiTheme="minorEastAsia" w:cs="Songti SC Regular" w:hint="eastAsia"/>
              </w:rPr>
              <w:t>现场参观</w:t>
            </w:r>
          </w:p>
          <w:p w14:paraId="6D5F5877" w14:textId="77777777" w:rsidR="00A743FF" w:rsidRDefault="00000000">
            <w:pPr>
              <w:pStyle w:val="p6"/>
              <w:widowControl/>
              <w:spacing w:after="0" w:line="480" w:lineRule="auto"/>
              <w:rPr>
                <w:rFonts w:asciiTheme="minorEastAsia" w:eastAsiaTheme="minorEastAsia" w:hAnsiTheme="minorEastAsia" w:cs="Songti SC Regular"/>
              </w:rPr>
            </w:pPr>
            <w:r>
              <w:rPr>
                <w:rStyle w:val="s3"/>
                <w:rFonts w:asciiTheme="minorEastAsia" w:eastAsiaTheme="minorEastAsia" w:hAnsiTheme="minorEastAsia" w:cs="Songti SC Regular"/>
              </w:rPr>
              <w:sym w:font="Wingdings 2" w:char="0052"/>
            </w:r>
            <w:r>
              <w:rPr>
                <w:rStyle w:val="s2"/>
                <w:rFonts w:asciiTheme="minorEastAsia" w:eastAsiaTheme="minorEastAsia" w:hAnsiTheme="minorEastAsia" w:cs="Songti SC Regular"/>
              </w:rPr>
              <w:t>其他 电话会议 (2025年年报及2026年</w:t>
            </w:r>
            <w:proofErr w:type="gramStart"/>
            <w:r>
              <w:rPr>
                <w:rStyle w:val="s2"/>
                <w:rFonts w:asciiTheme="minorEastAsia" w:eastAsiaTheme="minorEastAsia" w:hAnsiTheme="minorEastAsia" w:cs="Songti SC Regular"/>
              </w:rPr>
              <w:t>一</w:t>
            </w:r>
            <w:proofErr w:type="gramEnd"/>
            <w:r>
              <w:rPr>
                <w:rStyle w:val="s2"/>
                <w:rFonts w:asciiTheme="minorEastAsia" w:eastAsiaTheme="minorEastAsia" w:hAnsiTheme="minorEastAsia" w:cs="Songti SC Regular"/>
              </w:rPr>
              <w:t>季报情况)</w:t>
            </w:r>
          </w:p>
        </w:tc>
      </w:tr>
      <w:tr w:rsidR="00A743FF" w14:paraId="3A7C4267" w14:textId="77777777">
        <w:trPr>
          <w:trHeight w:val="113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63D10DA" w14:textId="77777777"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t>参与单位名称及人员姓名</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3573B45" w14:textId="7F6FD908" w:rsidR="00A743FF" w:rsidRDefault="00000000">
            <w:pPr>
              <w:pStyle w:val="p8"/>
              <w:widowControl/>
              <w:spacing w:after="0" w:line="360" w:lineRule="auto"/>
              <w:rPr>
                <w:rStyle w:val="s2"/>
                <w:rFonts w:asciiTheme="minorEastAsia" w:eastAsiaTheme="minorEastAsia" w:hAnsiTheme="minorEastAsia" w:cs="Songti SC Regular"/>
              </w:rPr>
            </w:pPr>
            <w:r>
              <w:rPr>
                <w:rStyle w:val="s2"/>
                <w:rFonts w:asciiTheme="minorEastAsia" w:eastAsiaTheme="minorEastAsia" w:hAnsiTheme="minorEastAsia" w:cs="Songti SC Regular" w:hint="default"/>
              </w:rPr>
              <w:t>重要提示:参会人员名单由组织机构提供并经整理后展示。公司无法保证参会人员及其单位名称的完整性、准确性，请投资者注意。</w:t>
            </w:r>
          </w:p>
        </w:tc>
      </w:tr>
      <w:tr w:rsidR="00A743FF" w14:paraId="5F2BE285" w14:textId="77777777">
        <w:trPr>
          <w:trHeight w:val="340"/>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C13C49" w14:textId="77777777"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t>时间</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ABADA0" w14:textId="77777777" w:rsidR="00A743FF" w:rsidRDefault="00000000">
            <w:pPr>
              <w:pStyle w:val="p9"/>
              <w:widowControl/>
              <w:rPr>
                <w:rFonts w:asciiTheme="minorEastAsia" w:eastAsiaTheme="minorEastAsia" w:hAnsiTheme="minorEastAsia" w:cs="Songti SC Regular" w:hint="eastAsia"/>
              </w:rPr>
            </w:pPr>
            <w:r>
              <w:rPr>
                <w:rStyle w:val="s2"/>
                <w:rFonts w:asciiTheme="minorEastAsia" w:eastAsiaTheme="minorEastAsia" w:hAnsiTheme="minorEastAsia" w:cs="Songti SC Regular" w:hint="eastAsia"/>
              </w:rPr>
              <w:t>2026</w:t>
            </w:r>
            <w:r>
              <w:rPr>
                <w:rStyle w:val="s1"/>
                <w:rFonts w:asciiTheme="minorEastAsia" w:eastAsiaTheme="minorEastAsia" w:hAnsiTheme="minorEastAsia" w:cs="Songti SC Regular" w:hint="default"/>
              </w:rPr>
              <w:t>年4月24日</w:t>
            </w:r>
          </w:p>
        </w:tc>
      </w:tr>
      <w:tr w:rsidR="00A743FF" w14:paraId="0981ADA6" w14:textId="77777777">
        <w:trPr>
          <w:trHeight w:val="650"/>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14B2FE5" w14:textId="77777777"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t>地点</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AA59EC4" w14:textId="77777777" w:rsidR="00A743FF" w:rsidRDefault="00000000">
            <w:pPr>
              <w:pStyle w:val="p4"/>
              <w:widowControl/>
              <w:rPr>
                <w:rStyle w:val="s2"/>
                <w:rFonts w:asciiTheme="minorEastAsia" w:eastAsiaTheme="minorEastAsia" w:hAnsiTheme="minorEastAsia" w:cs="Songti SC Regular"/>
              </w:rPr>
            </w:pPr>
            <w:r>
              <w:rPr>
                <w:rStyle w:val="s2"/>
                <w:rFonts w:asciiTheme="minorEastAsia" w:eastAsiaTheme="minorEastAsia" w:hAnsiTheme="minorEastAsia" w:cs="Songti SC Regular"/>
              </w:rPr>
              <w:t>昆明市东风东路23号昆明恒隆广场办公楼39层办公室</w:t>
            </w:r>
          </w:p>
        </w:tc>
      </w:tr>
      <w:tr w:rsidR="00A743FF" w14:paraId="58DE3352" w14:textId="77777777">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81901AF" w14:textId="77777777"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t>上市公司接待人员姓名</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0FC4099" w14:textId="77777777" w:rsidR="00A743FF" w:rsidRDefault="00000000">
            <w:pPr>
              <w:pStyle w:val="p10"/>
              <w:widowControl/>
              <w:spacing w:line="240" w:lineRule="auto"/>
              <w:rPr>
                <w:rStyle w:val="s1"/>
                <w:rFonts w:asciiTheme="minorEastAsia" w:eastAsiaTheme="minorEastAsia" w:hAnsiTheme="minorEastAsia" w:cs="Songti SC Regular" w:hint="default"/>
              </w:rPr>
            </w:pPr>
            <w:r>
              <w:rPr>
                <w:rStyle w:val="s1"/>
                <w:rFonts w:asciiTheme="minorEastAsia" w:eastAsiaTheme="minorEastAsia" w:hAnsiTheme="minorEastAsia" w:cs="Songti SC Regular" w:hint="default"/>
              </w:rPr>
              <w:t>董事会秘书</w:t>
            </w:r>
            <w:r>
              <w:rPr>
                <w:rStyle w:val="s2"/>
                <w:rFonts w:asciiTheme="minorEastAsia" w:eastAsiaTheme="minorEastAsia" w:hAnsiTheme="minorEastAsia" w:cs="Songti SC Regular" w:hint="eastAsia"/>
              </w:rPr>
              <w:t>：</w:t>
            </w:r>
            <w:r>
              <w:rPr>
                <w:rStyle w:val="s1"/>
                <w:rFonts w:asciiTheme="minorEastAsia" w:eastAsiaTheme="minorEastAsia" w:hAnsiTheme="minorEastAsia" w:cs="Songti SC Regular" w:hint="default"/>
              </w:rPr>
              <w:t>蒋宏</w:t>
            </w:r>
          </w:p>
          <w:p w14:paraId="4C9E7131" w14:textId="77777777" w:rsidR="00A743FF" w:rsidRDefault="00000000">
            <w:pPr>
              <w:pStyle w:val="p10"/>
              <w:widowControl/>
              <w:spacing w:line="240" w:lineRule="auto"/>
              <w:rPr>
                <w:rStyle w:val="s1"/>
                <w:rFonts w:asciiTheme="minorEastAsia" w:eastAsiaTheme="minorEastAsia" w:hAnsiTheme="minorEastAsia" w:cs="Songti SC Regular" w:hint="default"/>
              </w:rPr>
            </w:pPr>
            <w:r>
              <w:rPr>
                <w:rStyle w:val="s1"/>
                <w:rFonts w:asciiTheme="minorEastAsia" w:eastAsiaTheme="minorEastAsia" w:hAnsiTheme="minorEastAsia" w:cs="Songti SC Regular" w:hint="default"/>
              </w:rPr>
              <w:t>财务总监：闫瑾</w:t>
            </w:r>
          </w:p>
        </w:tc>
      </w:tr>
      <w:tr w:rsidR="00A743FF" w14:paraId="3D0674E1" w14:textId="77777777">
        <w:trPr>
          <w:trHeight w:val="90"/>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5A416B" w14:textId="77777777"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t>投资者关系活动主要内容介绍</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558AAB" w14:textId="77777777" w:rsidR="00A743FF" w:rsidRDefault="00000000">
            <w:pPr>
              <w:pStyle w:val="p12"/>
              <w:widowControl/>
              <w:spacing w:line="360" w:lineRule="auto"/>
              <w:jc w:val="left"/>
              <w:rPr>
                <w:rStyle w:val="s2"/>
                <w:rFonts w:asciiTheme="minorEastAsia" w:eastAsia="宋体" w:hAnsiTheme="minorEastAsia" w:cs="Songti SC Regular"/>
                <w:b/>
                <w:bCs/>
              </w:rPr>
            </w:pPr>
            <w:r>
              <w:rPr>
                <w:rStyle w:val="s2"/>
                <w:rFonts w:asciiTheme="minorEastAsia" w:eastAsia="宋体" w:hAnsiTheme="minorEastAsia" w:cs="Songti SC Regular"/>
                <w:b/>
                <w:bCs/>
              </w:rPr>
              <w:t>【经营情况】</w:t>
            </w:r>
          </w:p>
          <w:p w14:paraId="22040465" w14:textId="77777777" w:rsidR="00710A6C" w:rsidRPr="00710A6C" w:rsidRDefault="00710A6C" w:rsidP="00710A6C">
            <w:pPr>
              <w:pStyle w:val="p12"/>
              <w:widowControl/>
              <w:spacing w:line="360" w:lineRule="auto"/>
              <w:ind w:firstLineChars="200" w:firstLine="480"/>
              <w:jc w:val="left"/>
              <w:rPr>
                <w:rStyle w:val="s2"/>
                <w:rFonts w:asciiTheme="minorEastAsia" w:eastAsia="宋体" w:hAnsiTheme="minorEastAsia" w:cs="Songti SC Regular"/>
              </w:rPr>
            </w:pPr>
            <w:r w:rsidRPr="00710A6C">
              <w:rPr>
                <w:rStyle w:val="s2"/>
                <w:rFonts w:asciiTheme="minorEastAsia" w:eastAsia="宋体" w:hAnsiTheme="minorEastAsia" w:cs="Songti SC Regular"/>
              </w:rPr>
              <w:t>2025年，神农集团营业收入达到53.52亿元；</w:t>
            </w:r>
            <w:proofErr w:type="gramStart"/>
            <w:r w:rsidRPr="00710A6C">
              <w:rPr>
                <w:rStyle w:val="s2"/>
                <w:rFonts w:asciiTheme="minorEastAsia" w:eastAsia="宋体" w:hAnsiTheme="minorEastAsia" w:cs="Songti SC Regular"/>
              </w:rPr>
              <w:t>归母净利润</w:t>
            </w:r>
            <w:proofErr w:type="gramEnd"/>
            <w:r w:rsidRPr="00710A6C">
              <w:rPr>
                <w:rStyle w:val="s2"/>
                <w:rFonts w:asciiTheme="minorEastAsia" w:eastAsia="宋体" w:hAnsiTheme="minorEastAsia" w:cs="Songti SC Regular"/>
              </w:rPr>
              <w:t>为3.39亿元；经营活动产生的现金流量净额为8.10亿元。</w:t>
            </w:r>
          </w:p>
          <w:p w14:paraId="0F2959FB" w14:textId="77777777" w:rsidR="00710A6C" w:rsidRPr="00710A6C" w:rsidRDefault="00710A6C" w:rsidP="00710A6C">
            <w:pPr>
              <w:pStyle w:val="p12"/>
              <w:widowControl/>
              <w:spacing w:line="360" w:lineRule="auto"/>
              <w:ind w:firstLineChars="200" w:firstLine="480"/>
              <w:jc w:val="left"/>
              <w:rPr>
                <w:rStyle w:val="s2"/>
                <w:rFonts w:asciiTheme="minorEastAsia" w:eastAsia="宋体" w:hAnsiTheme="minorEastAsia" w:cs="Songti SC Regular"/>
              </w:rPr>
            </w:pPr>
            <w:r w:rsidRPr="00710A6C">
              <w:rPr>
                <w:rStyle w:val="s2"/>
                <w:rFonts w:asciiTheme="minorEastAsia" w:eastAsia="宋体" w:hAnsiTheme="minorEastAsia" w:cs="Songti SC Regular"/>
              </w:rPr>
              <w:t>2026年一季度营业收入13.22亿元；</w:t>
            </w:r>
            <w:proofErr w:type="gramStart"/>
            <w:r w:rsidRPr="00710A6C">
              <w:rPr>
                <w:rStyle w:val="s2"/>
                <w:rFonts w:asciiTheme="minorEastAsia" w:eastAsia="宋体" w:hAnsiTheme="minorEastAsia" w:cs="Songti SC Regular"/>
              </w:rPr>
              <w:t>归母净利润</w:t>
            </w:r>
            <w:proofErr w:type="gramEnd"/>
            <w:r w:rsidRPr="00710A6C">
              <w:rPr>
                <w:rStyle w:val="s2"/>
                <w:rFonts w:asciiTheme="minorEastAsia" w:eastAsia="宋体" w:hAnsiTheme="minorEastAsia" w:cs="Songti SC Regular"/>
              </w:rPr>
              <w:t>为-6.48亿元（含存货跌价准备4.8亿元）；经营活动产生的现金流量净额为-1.27亿元。</w:t>
            </w:r>
          </w:p>
          <w:p w14:paraId="406DAA01" w14:textId="77777777" w:rsidR="00710A6C" w:rsidRPr="00710A6C" w:rsidRDefault="00710A6C" w:rsidP="00710A6C">
            <w:pPr>
              <w:pStyle w:val="p12"/>
              <w:widowControl/>
              <w:spacing w:line="360" w:lineRule="auto"/>
              <w:ind w:firstLineChars="200" w:firstLine="480"/>
              <w:jc w:val="left"/>
              <w:rPr>
                <w:rStyle w:val="s2"/>
                <w:rFonts w:asciiTheme="minorEastAsia" w:eastAsia="宋体" w:hAnsiTheme="minorEastAsia" w:cs="Songti SC Regular"/>
              </w:rPr>
            </w:pPr>
            <w:r w:rsidRPr="00710A6C">
              <w:rPr>
                <w:rStyle w:val="s2"/>
                <w:rFonts w:asciiTheme="minorEastAsia" w:eastAsia="宋体" w:hAnsiTheme="minorEastAsia" w:cs="Songti SC Regular"/>
              </w:rPr>
              <w:t>公司2025年末资产负债率为29.53%，2026年一季度末资产负债率为33.98%。</w:t>
            </w:r>
          </w:p>
          <w:p w14:paraId="599EFDB4" w14:textId="41446139" w:rsidR="00A743FF" w:rsidRDefault="00710A6C" w:rsidP="00710A6C">
            <w:pPr>
              <w:pStyle w:val="p12"/>
              <w:widowControl/>
              <w:spacing w:line="360" w:lineRule="auto"/>
              <w:ind w:firstLineChars="200" w:firstLine="480"/>
              <w:jc w:val="left"/>
              <w:rPr>
                <w:rStyle w:val="s2"/>
                <w:rFonts w:asciiTheme="minorEastAsia" w:eastAsia="宋体" w:hAnsiTheme="minorEastAsia" w:cs="Songti SC Regular"/>
              </w:rPr>
            </w:pPr>
            <w:r w:rsidRPr="00710A6C">
              <w:rPr>
                <w:rStyle w:val="s2"/>
                <w:rFonts w:asciiTheme="minorEastAsia" w:eastAsia="宋体" w:hAnsiTheme="minorEastAsia" w:cs="Songti SC Regular"/>
              </w:rPr>
              <w:t>2026年一季度公司成本持续下降，2026年一季度平均完全成本为12.2元/公斤</w:t>
            </w:r>
            <w:r w:rsidR="00000000">
              <w:rPr>
                <w:rStyle w:val="s2"/>
                <w:rFonts w:asciiTheme="minorEastAsia" w:eastAsia="宋体" w:hAnsiTheme="minorEastAsia" w:cs="Songti SC Regular" w:hint="default"/>
              </w:rPr>
              <w:t>。</w:t>
            </w:r>
          </w:p>
          <w:p w14:paraId="33D621F4" w14:textId="77777777" w:rsidR="00A743FF" w:rsidRDefault="00000000">
            <w:pPr>
              <w:pStyle w:val="p12"/>
              <w:widowControl/>
              <w:spacing w:line="360" w:lineRule="auto"/>
              <w:ind w:firstLineChars="200" w:firstLine="480"/>
              <w:jc w:val="left"/>
              <w:rPr>
                <w:rStyle w:val="s2"/>
                <w:rFonts w:asciiTheme="minorEastAsia" w:eastAsia="宋体" w:hAnsiTheme="minorEastAsia" w:cs="Songti SC Regular"/>
                <w:b/>
                <w:bCs/>
              </w:rPr>
            </w:pPr>
            <w:r>
              <w:rPr>
                <w:rStyle w:val="s2"/>
                <w:rFonts w:asciiTheme="minorEastAsia" w:eastAsia="宋体" w:hAnsiTheme="minorEastAsia" w:cs="Songti SC Regular" w:hint="default"/>
              </w:rPr>
              <w:lastRenderedPageBreak/>
              <w:t>3月份完全成本12.1元/公斤，断奶成本260元</w:t>
            </w:r>
            <w:r>
              <w:rPr>
                <w:rStyle w:val="s2"/>
                <w:rFonts w:asciiTheme="minorEastAsia" w:eastAsia="宋体" w:hAnsiTheme="minorEastAsia" w:cs="Songti SC Regular"/>
              </w:rPr>
              <w:t>/头</w:t>
            </w:r>
            <w:r>
              <w:rPr>
                <w:rStyle w:val="s2"/>
                <w:rFonts w:asciiTheme="minorEastAsia" w:eastAsia="宋体" w:hAnsiTheme="minorEastAsia" w:cs="Songti SC Regular" w:hint="default"/>
              </w:rPr>
              <w:t>，PSY30头，料肉比2.49。</w:t>
            </w:r>
          </w:p>
          <w:p w14:paraId="2382B6C8" w14:textId="112E89EB" w:rsidR="00A743FF" w:rsidRDefault="00710A6C">
            <w:pPr>
              <w:pStyle w:val="p12"/>
              <w:widowControl/>
              <w:numPr>
                <w:ilvl w:val="0"/>
                <w:numId w:val="1"/>
              </w:numPr>
              <w:spacing w:line="360" w:lineRule="auto"/>
              <w:jc w:val="left"/>
              <w:rPr>
                <w:rStyle w:val="s2"/>
                <w:rFonts w:asciiTheme="minorEastAsia" w:eastAsia="宋体" w:hAnsiTheme="minorEastAsia" w:cs="Songti SC Regular"/>
                <w:b/>
                <w:bCs/>
              </w:rPr>
            </w:pPr>
            <w:r w:rsidRPr="00710A6C">
              <w:rPr>
                <w:rStyle w:val="s2"/>
                <w:rFonts w:asciiTheme="minorEastAsia" w:eastAsia="宋体" w:hAnsiTheme="minorEastAsia" w:cs="Songti SC Regular"/>
                <w:b/>
                <w:bCs/>
              </w:rPr>
              <w:t>问：26Q1公司计提减值较大的原因</w:t>
            </w:r>
            <w:r w:rsidR="00000000">
              <w:rPr>
                <w:rStyle w:val="s2"/>
                <w:rFonts w:asciiTheme="minorEastAsia" w:eastAsia="宋体" w:hAnsiTheme="minorEastAsia" w:cs="Songti SC Regular"/>
                <w:b/>
                <w:bCs/>
              </w:rPr>
              <w:t>？</w:t>
            </w:r>
          </w:p>
          <w:p w14:paraId="362FC108" w14:textId="77777777" w:rsidR="00710A6C" w:rsidRPr="00710A6C" w:rsidRDefault="00000000" w:rsidP="00710A6C">
            <w:pPr>
              <w:pStyle w:val="p12"/>
              <w:widowControl/>
              <w:spacing w:line="360" w:lineRule="auto"/>
              <w:jc w:val="left"/>
              <w:rPr>
                <w:rFonts w:ascii="宋体" w:eastAsia="宋体" w:hAnsi="宋体" w:cs="宋体"/>
              </w:rPr>
            </w:pPr>
            <w:r>
              <w:t>答：</w:t>
            </w:r>
            <w:r w:rsidR="00710A6C" w:rsidRPr="00710A6C">
              <w:rPr>
                <w:rFonts w:ascii="宋体" w:eastAsia="宋体" w:hAnsi="宋体" w:cs="宋体"/>
              </w:rPr>
              <w:t>公司根据长期一贯执行的会计政策，以资产负债表日前后五日的平均售价为依据计算猪只类资产减值测试的可变现净值。由于3月31日前后五日公司所在区域猪价处于底部，因此减值测试的可变现净值较低并导致猪只类资产减值金额较大。</w:t>
            </w:r>
          </w:p>
          <w:p w14:paraId="610D0DDF" w14:textId="0586475E" w:rsidR="00710A6C" w:rsidRPr="00710A6C" w:rsidRDefault="00710A6C" w:rsidP="00710A6C">
            <w:pPr>
              <w:pStyle w:val="p12"/>
              <w:widowControl/>
              <w:spacing w:line="360" w:lineRule="auto"/>
              <w:jc w:val="left"/>
              <w:rPr>
                <w:rFonts w:ascii="宋体" w:eastAsia="宋体" w:hAnsi="宋体" w:cs="宋体"/>
              </w:rPr>
            </w:pPr>
            <w:r w:rsidRPr="00710A6C">
              <w:rPr>
                <w:rFonts w:ascii="宋体" w:eastAsia="宋体" w:hAnsi="宋体" w:cs="宋体"/>
              </w:rPr>
              <w:t>为增强信息披露的透明度和可比性，便于投资者更全面地了解公司资产价值及行业趋势，公司同时以资产负债表日预估未来售价为基础进行模拟测算。</w:t>
            </w:r>
            <w:proofErr w:type="gramStart"/>
            <w:r w:rsidRPr="00710A6C">
              <w:rPr>
                <w:rFonts w:ascii="宋体" w:eastAsia="宋体" w:hAnsi="宋体" w:cs="宋体"/>
              </w:rPr>
              <w:t>若参</w:t>
            </w:r>
            <w:proofErr w:type="gramEnd"/>
            <w:r w:rsidRPr="00710A6C">
              <w:rPr>
                <w:rFonts w:ascii="宋体" w:eastAsia="宋体" w:hAnsi="宋体" w:cs="宋体"/>
              </w:rPr>
              <w:t>考资产负债表日后生猪期货主力合约（LH2505、LH2507、LH2509）价格区间（9.77-11.81元/公斤）作为预估售价，模拟测算应计提的猪只类资产减值损失为124,260,785.28元。</w:t>
            </w:r>
          </w:p>
          <w:p w14:paraId="7E3E1241" w14:textId="621B1270" w:rsidR="00A743FF" w:rsidRDefault="00710A6C" w:rsidP="00710A6C">
            <w:pPr>
              <w:pStyle w:val="p12"/>
              <w:widowControl/>
              <w:spacing w:line="360" w:lineRule="auto"/>
              <w:jc w:val="left"/>
              <w:rPr>
                <w:rFonts w:eastAsia="宋体"/>
              </w:rPr>
            </w:pPr>
            <w:r w:rsidRPr="00710A6C">
              <w:rPr>
                <w:rFonts w:ascii="宋体" w:eastAsia="宋体" w:hAnsi="宋体" w:cs="宋体"/>
              </w:rPr>
              <w:t>上述实际与模拟结果差异主要</w:t>
            </w:r>
            <w:proofErr w:type="gramStart"/>
            <w:r w:rsidRPr="00710A6C">
              <w:rPr>
                <w:rFonts w:ascii="宋体" w:eastAsia="宋体" w:hAnsi="宋体" w:cs="宋体"/>
              </w:rPr>
              <w:t>系计算</w:t>
            </w:r>
            <w:proofErr w:type="gramEnd"/>
            <w:r w:rsidRPr="00710A6C">
              <w:rPr>
                <w:rFonts w:ascii="宋体" w:eastAsia="宋体" w:hAnsi="宋体" w:cs="宋体"/>
              </w:rPr>
              <w:t>可变现净值时所依据的存货预估售价不同所致。公司2026年第一季度财务报表中的存货跌价准备数据，仍严格遵循既定的会计政策确认</w:t>
            </w:r>
            <w:r w:rsidR="00000000">
              <w:rPr>
                <w:rFonts w:ascii="宋体" w:eastAsia="宋体" w:hAnsi="宋体" w:cs="宋体"/>
              </w:rPr>
              <w:t>。</w:t>
            </w:r>
          </w:p>
          <w:p w14:paraId="079428A6" w14:textId="77777777" w:rsidR="00A743FF" w:rsidRDefault="00A743FF">
            <w:pPr>
              <w:pStyle w:val="p12"/>
              <w:widowControl/>
              <w:spacing w:line="360" w:lineRule="auto"/>
              <w:jc w:val="left"/>
              <w:rPr>
                <w:rFonts w:hint="default"/>
              </w:rPr>
            </w:pPr>
          </w:p>
          <w:p w14:paraId="3D7E7754" w14:textId="41C3C1D4" w:rsidR="00A743FF" w:rsidRDefault="00710A6C">
            <w:pPr>
              <w:pStyle w:val="p12"/>
              <w:widowControl/>
              <w:numPr>
                <w:ilvl w:val="0"/>
                <w:numId w:val="1"/>
              </w:numPr>
              <w:spacing w:line="360" w:lineRule="auto"/>
              <w:jc w:val="left"/>
              <w:rPr>
                <w:rStyle w:val="s2"/>
                <w:rFonts w:asciiTheme="minorEastAsia" w:eastAsia="宋体" w:hAnsiTheme="minorEastAsia" w:cs="Songti SC Regular"/>
                <w:b/>
                <w:bCs/>
              </w:rPr>
            </w:pPr>
            <w:r w:rsidRPr="00710A6C">
              <w:rPr>
                <w:rStyle w:val="s2"/>
                <w:rFonts w:asciiTheme="minorEastAsia" w:eastAsia="宋体" w:hAnsiTheme="minorEastAsia" w:cs="Songti SC Regular"/>
                <w:b/>
                <w:bCs/>
              </w:rPr>
              <w:t>问：26Q1公司计提减值的依据及对未来的影响</w:t>
            </w:r>
            <w:r w:rsidR="00000000">
              <w:rPr>
                <w:rStyle w:val="s2"/>
                <w:rFonts w:asciiTheme="minorEastAsia" w:eastAsia="宋体" w:hAnsiTheme="minorEastAsia" w:cs="Songti SC Regular"/>
                <w:b/>
                <w:bCs/>
              </w:rPr>
              <w:t>？</w:t>
            </w:r>
          </w:p>
          <w:p w14:paraId="5BB63D20" w14:textId="3E59C7C2" w:rsidR="00A743FF" w:rsidRDefault="00000000">
            <w:pPr>
              <w:pStyle w:val="p12"/>
              <w:widowControl/>
              <w:spacing w:line="360" w:lineRule="auto"/>
              <w:ind w:firstLineChars="200" w:firstLine="480"/>
              <w:jc w:val="left"/>
              <w:rPr>
                <w:rFonts w:ascii="宋体" w:eastAsia="宋体" w:hAnsi="宋体"/>
              </w:rPr>
            </w:pPr>
            <w:r>
              <w:rPr>
                <w:rStyle w:val="s2"/>
                <w:rFonts w:asciiTheme="minorEastAsia" w:eastAsia="宋体" w:hAnsiTheme="minorEastAsia" w:cs="Songti SC Regular"/>
              </w:rPr>
              <w:t>答：</w:t>
            </w:r>
            <w:r w:rsidR="00710A6C" w:rsidRPr="00710A6C">
              <w:rPr>
                <w:rStyle w:val="s2"/>
                <w:rFonts w:asciiTheme="minorEastAsia" w:eastAsia="宋体" w:hAnsiTheme="minorEastAsia" w:cs="Songti SC Regular"/>
              </w:rPr>
              <w:t>在减值计提方面，公司严格遵循《企业会计准则》及长期一贯执行的会计政策，以资产负债表日前后五日的生猪市场平均售价作为核心定价依据确定可变现净值，同时结合公司实际存栏结构、各阶段养殖成本、预计销售费用及相关税费等综合因素，审慎测算猪只类消耗性生物资产的饲养成本，依规足额计提减值准备，核算口径保持连续稳定。后续若生猪行情回暖、猪价持续修复，导致资产减值的不利因素完全消除，前期计提的减值准备可在原计提额度内合理转回；现有存栏生猪陆续出栏销售时，对应批次已计提的减值准备将同步转销，抵减未来营业成本，进而优化养殖板块毛利水平。针对减值计提的详细情况，公司也在《关于2026年第一季度计提信用减值损失和资产减值损失的公告》中做了特别说明</w:t>
            </w:r>
            <w:r>
              <w:rPr>
                <w:rFonts w:ascii="宋体" w:eastAsia="宋体" w:hAnsi="宋体" w:hint="default"/>
              </w:rPr>
              <w:t>。</w:t>
            </w:r>
          </w:p>
          <w:p w14:paraId="421F8C52" w14:textId="77777777" w:rsidR="00A743FF" w:rsidRDefault="00A743FF">
            <w:pPr>
              <w:pStyle w:val="p12"/>
              <w:widowControl/>
              <w:spacing w:line="360" w:lineRule="auto"/>
              <w:ind w:firstLineChars="200" w:firstLine="480"/>
              <w:jc w:val="left"/>
              <w:rPr>
                <w:rFonts w:ascii="宋体" w:eastAsia="宋体" w:hAnsi="宋体"/>
              </w:rPr>
            </w:pPr>
          </w:p>
          <w:p w14:paraId="6FE8F5DC" w14:textId="7640E55B" w:rsidR="00A743FF" w:rsidRDefault="00710A6C">
            <w:pPr>
              <w:pStyle w:val="p12"/>
              <w:widowControl/>
              <w:numPr>
                <w:ilvl w:val="0"/>
                <w:numId w:val="1"/>
              </w:numPr>
              <w:spacing w:line="360" w:lineRule="auto"/>
              <w:jc w:val="left"/>
              <w:rPr>
                <w:rStyle w:val="s2"/>
                <w:rFonts w:asciiTheme="minorEastAsia" w:eastAsia="宋体" w:hAnsiTheme="minorEastAsia" w:cs="Songti SC Regular"/>
                <w:b/>
                <w:bCs/>
              </w:rPr>
            </w:pPr>
            <w:r w:rsidRPr="00710A6C">
              <w:rPr>
                <w:rStyle w:val="s2"/>
                <w:rFonts w:asciiTheme="minorEastAsia" w:eastAsia="宋体" w:hAnsiTheme="minorEastAsia" w:cs="Songti SC Regular"/>
                <w:b/>
                <w:bCs/>
              </w:rPr>
              <w:lastRenderedPageBreak/>
              <w:t>问：2026年一季度逐月成本下降的原因，主要是什么项目有改善</w:t>
            </w:r>
            <w:r w:rsidR="00000000">
              <w:rPr>
                <w:rStyle w:val="s2"/>
                <w:rFonts w:asciiTheme="minorEastAsia" w:eastAsia="宋体" w:hAnsiTheme="minorEastAsia" w:cs="Songti SC Regular"/>
                <w:b/>
                <w:bCs/>
              </w:rPr>
              <w:t>？</w:t>
            </w:r>
          </w:p>
          <w:p w14:paraId="6A12CF1B" w14:textId="77777777" w:rsidR="00710A6C" w:rsidRPr="00710A6C" w:rsidRDefault="00000000" w:rsidP="00710A6C">
            <w:pPr>
              <w:spacing w:line="360" w:lineRule="auto"/>
              <w:rPr>
                <w:rStyle w:val="s2"/>
                <w:rFonts w:asciiTheme="minorEastAsia" w:eastAsia="宋体" w:hAnsiTheme="minorEastAsia" w:cs="Songti SC Regular"/>
                <w:sz w:val="24"/>
              </w:rPr>
            </w:pPr>
            <w:r>
              <w:rPr>
                <w:rStyle w:val="s2"/>
                <w:rFonts w:asciiTheme="minorEastAsia" w:eastAsia="宋体" w:hAnsiTheme="minorEastAsia" w:cs="Songti SC Regular" w:hint="eastAsia"/>
                <w:sz w:val="24"/>
              </w:rPr>
              <w:t>答：</w:t>
            </w:r>
            <w:r w:rsidR="00710A6C" w:rsidRPr="00710A6C">
              <w:rPr>
                <w:rStyle w:val="s2"/>
                <w:rFonts w:asciiTheme="minorEastAsia" w:eastAsia="宋体" w:hAnsiTheme="minorEastAsia" w:cs="Songti SC Regular"/>
                <w:sz w:val="24"/>
              </w:rPr>
              <w:t>（1）疫病防控：公司始终坚持“以健康为中心，以生物安全为核心”的健康养殖理念，打造健全的生物安全防控体系，为猪群整体的健康管理奠定了坚实的基础。如在母猪场加装空气过滤硬件系统并优化日常维护管理，不断提升存活率；</w:t>
            </w:r>
          </w:p>
          <w:p w14:paraId="6EA03DA9" w14:textId="77777777" w:rsidR="00710A6C" w:rsidRPr="00710A6C" w:rsidRDefault="00710A6C" w:rsidP="00710A6C">
            <w:pPr>
              <w:spacing w:line="360" w:lineRule="auto"/>
              <w:rPr>
                <w:rStyle w:val="s2"/>
                <w:rFonts w:asciiTheme="minorEastAsia" w:eastAsia="宋体" w:hAnsiTheme="minorEastAsia" w:cs="Songti SC Regular"/>
                <w:sz w:val="24"/>
              </w:rPr>
            </w:pPr>
            <w:r w:rsidRPr="00710A6C">
              <w:rPr>
                <w:rStyle w:val="s2"/>
                <w:rFonts w:asciiTheme="minorEastAsia" w:eastAsia="宋体" w:hAnsiTheme="minorEastAsia" w:cs="Songti SC Regular"/>
                <w:sz w:val="24"/>
              </w:rPr>
              <w:t>（2）种群基因改良：以往依靠各母猪场厂长经验，去年开始通过集团卓越运营部门和计划中心，将优良基因现状及改良计划推送到各猪场，使计划更具前瞻性、精准性；</w:t>
            </w:r>
          </w:p>
          <w:p w14:paraId="146A6A18" w14:textId="77777777" w:rsidR="00710A6C" w:rsidRPr="00710A6C" w:rsidRDefault="00710A6C" w:rsidP="00710A6C">
            <w:pPr>
              <w:spacing w:line="360" w:lineRule="auto"/>
              <w:rPr>
                <w:rStyle w:val="s2"/>
                <w:rFonts w:asciiTheme="minorEastAsia" w:eastAsia="宋体" w:hAnsiTheme="minorEastAsia" w:cs="Songti SC Regular"/>
                <w:sz w:val="24"/>
              </w:rPr>
            </w:pPr>
            <w:r w:rsidRPr="00710A6C">
              <w:rPr>
                <w:rStyle w:val="s2"/>
                <w:rFonts w:asciiTheme="minorEastAsia" w:eastAsia="宋体" w:hAnsiTheme="minorEastAsia" w:cs="Songti SC Regular"/>
                <w:sz w:val="24"/>
              </w:rPr>
              <w:t>（3）料肉比及中大猪死亡管控：从去年到今年，着重关注中大猪死亡比例控制，降低死亡率和死亡日龄，同时料肉比不断减低。</w:t>
            </w:r>
          </w:p>
          <w:p w14:paraId="04775082" w14:textId="5174CB32" w:rsidR="00A743FF" w:rsidRDefault="00710A6C" w:rsidP="00710A6C">
            <w:pPr>
              <w:spacing w:line="360" w:lineRule="auto"/>
              <w:rPr>
                <w:rStyle w:val="s2"/>
                <w:rFonts w:asciiTheme="minorEastAsia" w:eastAsia="宋体" w:hAnsiTheme="minorEastAsia" w:cs="Songti SC Regular" w:hint="eastAsia"/>
                <w:sz w:val="24"/>
              </w:rPr>
            </w:pPr>
            <w:r w:rsidRPr="00710A6C">
              <w:rPr>
                <w:rStyle w:val="s2"/>
                <w:rFonts w:asciiTheme="minorEastAsia" w:eastAsia="宋体" w:hAnsiTheme="minorEastAsia" w:cs="Songti SC Regular"/>
                <w:sz w:val="24"/>
              </w:rPr>
              <w:t>后续公司将从以下几方面发力：对内缩小各猪场管理差异，拉平整体生产指标；对外持续对接 PIC，引进优良种猪资源，持续改良种群、提升整体生产效率</w:t>
            </w:r>
            <w:r w:rsidR="00000000">
              <w:rPr>
                <w:rStyle w:val="s2"/>
                <w:rFonts w:asciiTheme="minorEastAsia" w:eastAsia="宋体" w:hAnsiTheme="minorEastAsia" w:cs="Songti SC Regular" w:hint="eastAsia"/>
                <w:sz w:val="24"/>
              </w:rPr>
              <w:t>。</w:t>
            </w:r>
          </w:p>
          <w:p w14:paraId="6E3F1C3A" w14:textId="77777777" w:rsidR="00A743FF" w:rsidRDefault="00A743FF">
            <w:pPr>
              <w:spacing w:line="360" w:lineRule="auto"/>
              <w:rPr>
                <w:rStyle w:val="s2"/>
                <w:rFonts w:asciiTheme="minorEastAsia" w:eastAsia="宋体" w:hAnsiTheme="minorEastAsia" w:cs="Songti SC Regular" w:hint="eastAsia"/>
                <w:sz w:val="24"/>
              </w:rPr>
            </w:pPr>
          </w:p>
          <w:p w14:paraId="3DBCAA25" w14:textId="2B47178E" w:rsidR="00A743FF" w:rsidRDefault="00000000">
            <w:pPr>
              <w:pStyle w:val="p12"/>
              <w:widowControl/>
              <w:spacing w:line="360" w:lineRule="auto"/>
              <w:jc w:val="left"/>
              <w:rPr>
                <w:rStyle w:val="s2"/>
                <w:rFonts w:asciiTheme="minorEastAsia" w:eastAsia="宋体" w:hAnsiTheme="minorEastAsia" w:cs="Songti SC Regular"/>
                <w:b/>
                <w:bCs/>
              </w:rPr>
            </w:pPr>
            <w:r>
              <w:rPr>
                <w:rStyle w:val="s2"/>
                <w:rFonts w:asciiTheme="minorEastAsia" w:eastAsia="宋体" w:hAnsiTheme="minorEastAsia" w:cs="Songti SC Regular"/>
                <w:b/>
                <w:bCs/>
              </w:rPr>
              <w:t>4、</w:t>
            </w:r>
            <w:r w:rsidR="00710A6C" w:rsidRPr="00710A6C">
              <w:rPr>
                <w:rStyle w:val="s2"/>
                <w:rFonts w:asciiTheme="minorEastAsia" w:eastAsia="宋体" w:hAnsiTheme="minorEastAsia" w:cs="Songti SC Regular"/>
                <w:b/>
                <w:bCs/>
              </w:rPr>
              <w:t>问：公司如何评估对口蹄疫的严峻程度及当前公司防控情况的效果</w:t>
            </w:r>
            <w:r>
              <w:rPr>
                <w:rStyle w:val="s2"/>
                <w:rFonts w:asciiTheme="minorEastAsia" w:eastAsia="宋体" w:hAnsiTheme="minorEastAsia" w:cs="Songti SC Regular"/>
                <w:b/>
                <w:bCs/>
              </w:rPr>
              <w:t>？</w:t>
            </w:r>
          </w:p>
          <w:p w14:paraId="3BBDF524" w14:textId="4BA89141" w:rsidR="00A743FF" w:rsidRDefault="00000000">
            <w:pPr>
              <w:pStyle w:val="p12"/>
              <w:widowControl/>
              <w:spacing w:line="360" w:lineRule="auto"/>
              <w:jc w:val="left"/>
              <w:rPr>
                <w:rFonts w:ascii="宋体" w:eastAsia="宋体" w:hAnsi="宋体" w:cs="宋体"/>
              </w:rPr>
            </w:pPr>
            <w:r>
              <w:rPr>
                <w:rStyle w:val="s2"/>
                <w:rFonts w:asciiTheme="minorEastAsia" w:eastAsia="宋体" w:hAnsiTheme="minorEastAsia" w:cs="Songti SC Regular"/>
              </w:rPr>
              <w:t>答：</w:t>
            </w:r>
            <w:r w:rsidR="00710A6C" w:rsidRPr="00710A6C">
              <w:rPr>
                <w:rStyle w:val="s2"/>
                <w:rFonts w:asciiTheme="minorEastAsia" w:eastAsia="宋体" w:hAnsiTheme="minorEastAsia" w:cs="Songti SC Regular"/>
              </w:rPr>
              <w:t>自国内出现疫情后，公司已第一时间作出安排，全面落实场区防疫部署与常态化防控措施。公司</w:t>
            </w:r>
            <w:proofErr w:type="gramStart"/>
            <w:r w:rsidR="00710A6C" w:rsidRPr="00710A6C">
              <w:rPr>
                <w:rStyle w:val="s2"/>
                <w:rFonts w:asciiTheme="minorEastAsia" w:eastAsia="宋体" w:hAnsiTheme="minorEastAsia" w:cs="Songti SC Regular"/>
              </w:rPr>
              <w:t>构建全</w:t>
            </w:r>
            <w:proofErr w:type="gramEnd"/>
            <w:r w:rsidR="00710A6C" w:rsidRPr="00710A6C">
              <w:rPr>
                <w:rStyle w:val="s2"/>
                <w:rFonts w:asciiTheme="minorEastAsia" w:eastAsia="宋体" w:hAnsiTheme="minorEastAsia" w:cs="Songti SC Regular"/>
              </w:rPr>
              <w:t>产业链闭环防控体系，各场区严格执行分区管理、人员物资车辆全方位洗消检测，同时强化生物安全管控与应急处置，严防疫情风险。公司现有成熟的生物安全防疫体系可有效覆盖口蹄疫防控，同时已完善应急预案。结合行业疫苗投放节奏，公司将及时完成疫苗接种。整体来看，口蹄疫风险可防、可控，生产经营不受影响</w:t>
            </w:r>
            <w:r>
              <w:rPr>
                <w:rFonts w:ascii="宋体" w:eastAsia="宋体" w:hAnsi="宋体" w:cs="宋体"/>
              </w:rPr>
              <w:t>。</w:t>
            </w:r>
          </w:p>
          <w:p w14:paraId="0FDB19E0" w14:textId="77777777" w:rsidR="00A743FF" w:rsidRDefault="00A743FF">
            <w:pPr>
              <w:pStyle w:val="p12"/>
              <w:widowControl/>
              <w:spacing w:line="360" w:lineRule="auto"/>
              <w:jc w:val="left"/>
              <w:rPr>
                <w:rFonts w:ascii="宋体" w:eastAsia="宋体" w:hAnsi="宋体" w:cs="宋体"/>
              </w:rPr>
            </w:pPr>
          </w:p>
          <w:p w14:paraId="1EC78728" w14:textId="2371B651" w:rsidR="00A743FF" w:rsidRDefault="00000000">
            <w:pPr>
              <w:pStyle w:val="p12"/>
              <w:widowControl/>
              <w:spacing w:line="360" w:lineRule="auto"/>
              <w:jc w:val="left"/>
              <w:rPr>
                <w:rStyle w:val="s2"/>
                <w:rFonts w:asciiTheme="minorEastAsia" w:eastAsia="宋体" w:hAnsiTheme="minorEastAsia" w:cs="Songti SC Regular"/>
                <w:b/>
                <w:bCs/>
              </w:rPr>
            </w:pPr>
            <w:r>
              <w:rPr>
                <w:rStyle w:val="s2"/>
                <w:rFonts w:asciiTheme="minorEastAsia" w:eastAsia="宋体" w:hAnsiTheme="minorEastAsia" w:cs="Songti SC Regular"/>
                <w:b/>
                <w:bCs/>
              </w:rPr>
              <w:t>5、</w:t>
            </w:r>
            <w:r w:rsidR="00710A6C" w:rsidRPr="00710A6C">
              <w:rPr>
                <w:rStyle w:val="s2"/>
                <w:rFonts w:asciiTheme="minorEastAsia" w:eastAsia="宋体" w:hAnsiTheme="minorEastAsia" w:cs="Songti SC Regular"/>
                <w:b/>
                <w:bCs/>
              </w:rPr>
              <w:t>生猪全年生产成绩提升目标与规划</w:t>
            </w:r>
            <w:r>
              <w:rPr>
                <w:rStyle w:val="s2"/>
                <w:rFonts w:asciiTheme="minorEastAsia" w:eastAsia="宋体" w:hAnsiTheme="minorEastAsia" w:cs="Songti SC Regular"/>
                <w:b/>
                <w:bCs/>
              </w:rPr>
              <w:t>？</w:t>
            </w:r>
          </w:p>
          <w:p w14:paraId="61B5AB09" w14:textId="2BDAFA4D" w:rsidR="00A743FF" w:rsidRDefault="00000000">
            <w:pPr>
              <w:pStyle w:val="p12"/>
              <w:widowControl/>
              <w:spacing w:line="360" w:lineRule="auto"/>
              <w:jc w:val="left"/>
              <w:rPr>
                <w:rStyle w:val="s2"/>
                <w:rFonts w:asciiTheme="minorEastAsia" w:eastAsia="宋体" w:hAnsiTheme="minorEastAsia" w:cs="Songti SC Regular"/>
              </w:rPr>
            </w:pPr>
            <w:r>
              <w:rPr>
                <w:rStyle w:val="s2"/>
                <w:rFonts w:asciiTheme="minorEastAsia" w:eastAsia="宋体" w:hAnsiTheme="minorEastAsia" w:cs="Songti SC Regular"/>
              </w:rPr>
              <w:t>答：</w:t>
            </w:r>
            <w:r w:rsidR="00710A6C" w:rsidRPr="00710A6C">
              <w:rPr>
                <w:rStyle w:val="s2"/>
                <w:rFonts w:asciiTheme="minorEastAsia" w:eastAsia="宋体" w:hAnsiTheme="minorEastAsia" w:cs="Songti SC Regular"/>
              </w:rPr>
              <w:t>2026年公司全年平均完全成本目标为11.5元/公斤。该目标</w:t>
            </w:r>
            <w:proofErr w:type="gramStart"/>
            <w:r w:rsidR="00710A6C" w:rsidRPr="00710A6C">
              <w:rPr>
                <w:rStyle w:val="s2"/>
                <w:rFonts w:asciiTheme="minorEastAsia" w:eastAsia="宋体" w:hAnsiTheme="minorEastAsia" w:cs="Songti SC Regular"/>
              </w:rPr>
              <w:t>锚定为锁价2025年</w:t>
            </w:r>
            <w:proofErr w:type="gramEnd"/>
            <w:r w:rsidR="00710A6C" w:rsidRPr="00710A6C">
              <w:rPr>
                <w:rStyle w:val="s2"/>
                <w:rFonts w:asciiTheme="minorEastAsia" w:eastAsia="宋体" w:hAnsiTheme="minorEastAsia" w:cs="Songti SC Regular"/>
              </w:rPr>
              <w:t>饲料原料成本，要求团队通过内部管理提效、满负荷生产、优化料肉比、压降各项费用等方式实现。公司也将持续优化生产指标，目标PSY将由去年29.5提升至今年目标31，同时持续优化</w:t>
            </w:r>
            <w:r w:rsidR="00710A6C" w:rsidRPr="00710A6C">
              <w:rPr>
                <w:rStyle w:val="s2"/>
                <w:rFonts w:asciiTheme="minorEastAsia" w:eastAsia="宋体" w:hAnsiTheme="minorEastAsia" w:cs="Songti SC Regular"/>
              </w:rPr>
              <w:lastRenderedPageBreak/>
              <w:t>料肉比，从当前2.49向2.4稳步靠拢</w:t>
            </w:r>
            <w:r>
              <w:rPr>
                <w:rStyle w:val="s2"/>
                <w:rFonts w:asciiTheme="minorEastAsia" w:eastAsia="宋体" w:hAnsiTheme="minorEastAsia" w:cs="Songti SC Regular" w:hint="default"/>
              </w:rPr>
              <w:t>。</w:t>
            </w:r>
          </w:p>
          <w:p w14:paraId="692E54CD" w14:textId="77777777" w:rsidR="00A743FF" w:rsidRDefault="00A743FF">
            <w:pPr>
              <w:pStyle w:val="p12"/>
              <w:widowControl/>
              <w:spacing w:line="360" w:lineRule="auto"/>
              <w:ind w:firstLineChars="200" w:firstLine="480"/>
              <w:jc w:val="left"/>
              <w:rPr>
                <w:rStyle w:val="s2"/>
                <w:rFonts w:asciiTheme="minorEastAsia" w:eastAsia="宋体" w:hAnsiTheme="minorEastAsia" w:cs="Songti SC Regular"/>
              </w:rPr>
            </w:pPr>
          </w:p>
          <w:p w14:paraId="4F25DD01" w14:textId="7784C6C9" w:rsidR="00A743FF" w:rsidRDefault="00710A6C">
            <w:pPr>
              <w:pStyle w:val="p12"/>
              <w:widowControl/>
              <w:numPr>
                <w:ilvl w:val="0"/>
                <w:numId w:val="2"/>
              </w:numPr>
              <w:spacing w:line="360" w:lineRule="auto"/>
              <w:jc w:val="left"/>
              <w:rPr>
                <w:rStyle w:val="s2"/>
                <w:rFonts w:asciiTheme="minorEastAsia" w:eastAsia="宋体" w:hAnsiTheme="minorEastAsia" w:cs="Songti SC Regular"/>
                <w:b/>
                <w:bCs/>
              </w:rPr>
            </w:pPr>
            <w:r w:rsidRPr="00710A6C">
              <w:rPr>
                <w:rStyle w:val="s2"/>
                <w:rFonts w:asciiTheme="minorEastAsia" w:eastAsia="宋体" w:hAnsiTheme="minorEastAsia" w:cs="Songti SC Regular"/>
                <w:b/>
                <w:bCs/>
              </w:rPr>
              <w:t>2026年财务端上大致的规划</w:t>
            </w:r>
            <w:r w:rsidR="00000000">
              <w:rPr>
                <w:rStyle w:val="s2"/>
                <w:rFonts w:asciiTheme="minorEastAsia" w:eastAsia="宋体" w:hAnsiTheme="minorEastAsia" w:cs="Songti SC Regular"/>
                <w:b/>
                <w:bCs/>
              </w:rPr>
              <w:t>？</w:t>
            </w:r>
          </w:p>
          <w:p w14:paraId="396CB3DF" w14:textId="760FDBEF" w:rsidR="00A743FF" w:rsidRDefault="00000000">
            <w:pPr>
              <w:pStyle w:val="p12"/>
              <w:widowControl/>
              <w:spacing w:line="360" w:lineRule="auto"/>
              <w:jc w:val="left"/>
              <w:rPr>
                <w:rStyle w:val="s2"/>
                <w:rFonts w:asciiTheme="minorEastAsia" w:eastAsia="宋体" w:hAnsiTheme="minorEastAsia" w:cs="Songti SC Regular" w:hint="default"/>
              </w:rPr>
            </w:pPr>
            <w:r>
              <w:rPr>
                <w:rStyle w:val="s2"/>
                <w:rFonts w:asciiTheme="minorEastAsia" w:eastAsia="宋体" w:hAnsiTheme="minorEastAsia" w:cs="Songti SC Regular"/>
              </w:rPr>
              <w:t>答：</w:t>
            </w:r>
            <w:r w:rsidR="00710A6C" w:rsidRPr="00710A6C">
              <w:rPr>
                <w:rStyle w:val="s2"/>
                <w:rFonts w:asciiTheme="minorEastAsia" w:eastAsia="宋体" w:hAnsiTheme="minorEastAsia" w:cs="Songti SC Regular"/>
              </w:rPr>
              <w:t>资金层面，公司现金流储备健康，自2025年末优化银行合作，聚焦区域优质银行建立长期合作，金融机构对生猪行业周期理解充分。截至3月末，公司纯信用授信余额近25亿元，融资渠道畅通稳定</w:t>
            </w:r>
            <w:r>
              <w:rPr>
                <w:rStyle w:val="s2"/>
                <w:rFonts w:asciiTheme="minorEastAsia" w:eastAsia="宋体" w:hAnsiTheme="minorEastAsia" w:cs="Songti SC Regular" w:hint="default"/>
              </w:rPr>
              <w:t>。</w:t>
            </w:r>
          </w:p>
          <w:p w14:paraId="09C5FA43" w14:textId="77777777" w:rsidR="00710A6C" w:rsidRDefault="00710A6C">
            <w:pPr>
              <w:pStyle w:val="p12"/>
              <w:widowControl/>
              <w:spacing w:line="360" w:lineRule="auto"/>
              <w:jc w:val="left"/>
              <w:rPr>
                <w:rStyle w:val="s2"/>
                <w:rFonts w:asciiTheme="minorEastAsia" w:eastAsia="宋体" w:hAnsiTheme="minorEastAsia" w:cs="Songti SC Regular"/>
              </w:rPr>
            </w:pPr>
          </w:p>
          <w:p w14:paraId="257873FC" w14:textId="6E1D5924" w:rsidR="00710A6C" w:rsidRDefault="00710A6C" w:rsidP="00710A6C">
            <w:pPr>
              <w:pStyle w:val="p12"/>
              <w:widowControl/>
              <w:numPr>
                <w:ilvl w:val="0"/>
                <w:numId w:val="2"/>
              </w:numPr>
              <w:spacing w:line="360" w:lineRule="auto"/>
              <w:jc w:val="left"/>
              <w:rPr>
                <w:rStyle w:val="s2"/>
                <w:rFonts w:asciiTheme="minorEastAsia" w:eastAsia="宋体" w:hAnsiTheme="minorEastAsia" w:cs="Songti SC Regular"/>
                <w:b/>
                <w:bCs/>
              </w:rPr>
            </w:pPr>
            <w:r w:rsidRPr="00710A6C">
              <w:rPr>
                <w:rStyle w:val="s2"/>
                <w:rFonts w:asciiTheme="minorEastAsia" w:eastAsia="宋体" w:hAnsiTheme="minorEastAsia" w:cs="Songti SC Regular"/>
                <w:b/>
                <w:bCs/>
              </w:rPr>
              <w:t>各板块的一个大致规划</w:t>
            </w:r>
            <w:r>
              <w:rPr>
                <w:rStyle w:val="s2"/>
                <w:rFonts w:asciiTheme="minorEastAsia" w:eastAsia="宋体" w:hAnsiTheme="minorEastAsia" w:cs="Songti SC Regular"/>
                <w:b/>
                <w:bCs/>
              </w:rPr>
              <w:t>？</w:t>
            </w:r>
          </w:p>
          <w:p w14:paraId="13AEB5D7" w14:textId="77777777" w:rsidR="00710A6C" w:rsidRPr="00710A6C" w:rsidRDefault="00710A6C" w:rsidP="00710A6C">
            <w:pPr>
              <w:pStyle w:val="p12"/>
              <w:widowControl/>
              <w:spacing w:line="360" w:lineRule="auto"/>
              <w:jc w:val="left"/>
              <w:rPr>
                <w:rStyle w:val="s2"/>
                <w:rFonts w:asciiTheme="minorEastAsia" w:eastAsia="宋体" w:hAnsiTheme="minorEastAsia" w:cs="Songti SC Regular"/>
              </w:rPr>
            </w:pPr>
            <w:r>
              <w:rPr>
                <w:rStyle w:val="s2"/>
                <w:rFonts w:asciiTheme="minorEastAsia" w:eastAsia="宋体" w:hAnsiTheme="minorEastAsia" w:cs="Songti SC Regular"/>
              </w:rPr>
              <w:t>答：</w:t>
            </w:r>
            <w:r w:rsidRPr="00710A6C">
              <w:rPr>
                <w:rStyle w:val="s2"/>
                <w:rFonts w:asciiTheme="minorEastAsia" w:eastAsia="宋体" w:hAnsiTheme="minorEastAsia" w:cs="Songti SC Regular"/>
              </w:rPr>
              <w:t>饲料板块：行业整体下行，公司饲料外销规模保持稳定。饲料产能主要保障内部养殖自用，仅少量产能用于外销，未来将维持现有格局。</w:t>
            </w:r>
          </w:p>
          <w:p w14:paraId="3082C6BC" w14:textId="77777777" w:rsidR="00710A6C" w:rsidRPr="00710A6C" w:rsidRDefault="00710A6C" w:rsidP="00CC3A9C">
            <w:pPr>
              <w:pStyle w:val="p12"/>
              <w:widowControl/>
              <w:spacing w:line="360" w:lineRule="auto"/>
              <w:ind w:firstLineChars="200" w:firstLine="480"/>
              <w:jc w:val="left"/>
              <w:rPr>
                <w:rStyle w:val="s2"/>
                <w:rFonts w:asciiTheme="minorEastAsia" w:eastAsia="宋体" w:hAnsiTheme="minorEastAsia" w:cs="Songti SC Regular"/>
              </w:rPr>
            </w:pPr>
            <w:r w:rsidRPr="00710A6C">
              <w:rPr>
                <w:rStyle w:val="s2"/>
                <w:rFonts w:asciiTheme="minorEastAsia" w:eastAsia="宋体" w:hAnsiTheme="minorEastAsia" w:cs="Songti SC Regular"/>
              </w:rPr>
              <w:t>养殖板块：持续深耕精细化管理，引进优良种猪优化种群、压降养殖成本，稳步提升生产效率。</w:t>
            </w:r>
          </w:p>
          <w:p w14:paraId="240ED4AB" w14:textId="77777777" w:rsidR="00710A6C" w:rsidRPr="00710A6C" w:rsidRDefault="00710A6C" w:rsidP="00CC3A9C">
            <w:pPr>
              <w:pStyle w:val="p12"/>
              <w:widowControl/>
              <w:spacing w:line="360" w:lineRule="auto"/>
              <w:ind w:firstLineChars="200" w:firstLine="480"/>
              <w:jc w:val="left"/>
              <w:rPr>
                <w:rStyle w:val="s2"/>
                <w:rFonts w:asciiTheme="minorEastAsia" w:eastAsia="宋体" w:hAnsiTheme="minorEastAsia" w:cs="Songti SC Regular"/>
              </w:rPr>
            </w:pPr>
            <w:r w:rsidRPr="00710A6C">
              <w:rPr>
                <w:rStyle w:val="s2"/>
                <w:rFonts w:asciiTheme="minorEastAsia" w:eastAsia="宋体" w:hAnsiTheme="minorEastAsia" w:cs="Songti SC Regular"/>
              </w:rPr>
              <w:t>屠宰板块：现有业务经营稳定，后续将加快转型升级，拓宽销售渠道，提升品牌影响力与市占率；同时规划在养殖规模较集中的区域新建屠宰场，就近就地屠宰，以运肉替代运猪，进一步降本增效。</w:t>
            </w:r>
          </w:p>
          <w:p w14:paraId="1906413F" w14:textId="68016AB4" w:rsidR="00710A6C" w:rsidRDefault="00710A6C" w:rsidP="00CC3A9C">
            <w:pPr>
              <w:pStyle w:val="p12"/>
              <w:widowControl/>
              <w:spacing w:line="360" w:lineRule="auto"/>
              <w:ind w:firstLineChars="200" w:firstLine="480"/>
              <w:jc w:val="left"/>
              <w:rPr>
                <w:rStyle w:val="s2"/>
                <w:rFonts w:asciiTheme="minorEastAsia" w:eastAsia="宋体" w:hAnsiTheme="minorEastAsia" w:cs="Songti SC Regular" w:hint="default"/>
              </w:rPr>
            </w:pPr>
            <w:r w:rsidRPr="00710A6C">
              <w:rPr>
                <w:rStyle w:val="s2"/>
                <w:rFonts w:asciiTheme="minorEastAsia" w:eastAsia="宋体" w:hAnsiTheme="minorEastAsia" w:cs="Songti SC Regular"/>
              </w:rPr>
              <w:t>深加工板块：目前处于培育爬坡阶段，体量较小、短期持续减亏，稳步摸索运营模式，不盲目扩张。以逐年减亏、最终保本盈利为目标</w:t>
            </w:r>
            <w:r>
              <w:rPr>
                <w:rStyle w:val="s2"/>
                <w:rFonts w:asciiTheme="minorEastAsia" w:eastAsia="宋体" w:hAnsiTheme="minorEastAsia" w:cs="Songti SC Regular" w:hint="default"/>
              </w:rPr>
              <w:t>。</w:t>
            </w:r>
          </w:p>
          <w:p w14:paraId="7ED36F9B" w14:textId="77777777" w:rsidR="00A743FF" w:rsidRDefault="00A743FF">
            <w:pPr>
              <w:pStyle w:val="p12"/>
              <w:widowControl/>
              <w:spacing w:line="360" w:lineRule="auto"/>
              <w:ind w:firstLineChars="200" w:firstLine="480"/>
              <w:jc w:val="left"/>
              <w:rPr>
                <w:rStyle w:val="s2"/>
                <w:rFonts w:asciiTheme="minorEastAsia" w:eastAsia="宋体" w:hAnsiTheme="minorEastAsia" w:cs="Songti SC Regular"/>
              </w:rPr>
            </w:pPr>
          </w:p>
        </w:tc>
      </w:tr>
      <w:tr w:rsidR="00A743FF" w14:paraId="18420094" w14:textId="77777777">
        <w:trPr>
          <w:trHeight w:val="320"/>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A8047" w14:textId="51E2F73F"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lastRenderedPageBreak/>
              <w:t>附件清单（如有）</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E8A4B0" w14:textId="77777777" w:rsidR="00A743FF" w:rsidRDefault="00000000">
            <w:pPr>
              <w:pStyle w:val="p4"/>
              <w:widowControl/>
              <w:rPr>
                <w:rFonts w:asciiTheme="minorEastAsia" w:eastAsiaTheme="minorEastAsia" w:hAnsiTheme="minorEastAsia" w:cs="Songti SC Regular"/>
              </w:rPr>
            </w:pPr>
            <w:r>
              <w:rPr>
                <w:rFonts w:asciiTheme="minorEastAsia" w:eastAsiaTheme="minorEastAsia" w:hAnsiTheme="minorEastAsia" w:cs="Songti SC Regular"/>
              </w:rPr>
              <w:t>附后</w:t>
            </w:r>
          </w:p>
        </w:tc>
      </w:tr>
      <w:tr w:rsidR="00A743FF" w14:paraId="0991E22A" w14:textId="77777777">
        <w:trPr>
          <w:trHeight w:val="340"/>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D3E06C" w14:textId="77777777" w:rsidR="00A743FF" w:rsidRDefault="00000000">
            <w:pPr>
              <w:pStyle w:val="p4"/>
              <w:widowControl/>
              <w:rPr>
                <w:rFonts w:asciiTheme="minorEastAsia" w:eastAsiaTheme="minorEastAsia" w:hAnsiTheme="minorEastAsia" w:cs="Songti SC Regular"/>
              </w:rPr>
            </w:pPr>
            <w:r>
              <w:rPr>
                <w:rStyle w:val="s2"/>
                <w:rFonts w:asciiTheme="minorEastAsia" w:eastAsiaTheme="minorEastAsia" w:hAnsiTheme="minorEastAsia" w:cs="Songti SC Regular"/>
              </w:rPr>
              <w:t>日期</w:t>
            </w:r>
          </w:p>
        </w:tc>
        <w:tc>
          <w:tcPr>
            <w:tcW w:w="73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B55DB6" w14:textId="77777777" w:rsidR="00A743FF" w:rsidRDefault="00000000">
            <w:pPr>
              <w:pStyle w:val="p9"/>
              <w:widowControl/>
              <w:rPr>
                <w:rFonts w:asciiTheme="minorEastAsia" w:eastAsiaTheme="minorEastAsia" w:hAnsiTheme="minorEastAsia" w:cs="Songti SC Regular" w:hint="eastAsia"/>
              </w:rPr>
            </w:pPr>
            <w:r>
              <w:rPr>
                <w:rStyle w:val="s2"/>
                <w:rFonts w:asciiTheme="minorEastAsia" w:eastAsiaTheme="minorEastAsia" w:hAnsiTheme="minorEastAsia" w:cs="Songti SC Regular" w:hint="eastAsia"/>
              </w:rPr>
              <w:t>2026</w:t>
            </w:r>
            <w:r>
              <w:rPr>
                <w:rStyle w:val="s1"/>
                <w:rFonts w:asciiTheme="minorEastAsia" w:eastAsiaTheme="minorEastAsia" w:hAnsiTheme="minorEastAsia" w:cs="Songti SC Regular" w:hint="default"/>
              </w:rPr>
              <w:t>年4月25日</w:t>
            </w:r>
          </w:p>
        </w:tc>
      </w:tr>
    </w:tbl>
    <w:p w14:paraId="0B34097A" w14:textId="77777777" w:rsidR="00515303" w:rsidRDefault="00515303">
      <w:pPr>
        <w:pStyle w:val="p14"/>
        <w:widowControl/>
        <w:jc w:val="left"/>
        <w:rPr>
          <w:rFonts w:asciiTheme="minorEastAsia" w:hAnsiTheme="minorEastAsia" w:hint="eastAsia"/>
        </w:rPr>
        <w:sectPr w:rsidR="00515303">
          <w:pgSz w:w="11906" w:h="16838"/>
          <w:pgMar w:top="1440" w:right="1800" w:bottom="1440" w:left="1800" w:header="851" w:footer="992" w:gutter="0"/>
          <w:cols w:space="425"/>
          <w:docGrid w:type="lines" w:linePitch="312"/>
        </w:sectPr>
      </w:pPr>
    </w:p>
    <w:p w14:paraId="597ED034" w14:textId="77777777" w:rsidR="00A743FF" w:rsidRDefault="00000000">
      <w:pPr>
        <w:pStyle w:val="p14"/>
        <w:widowControl/>
        <w:jc w:val="left"/>
        <w:rPr>
          <w:rFonts w:asciiTheme="minorEastAsia" w:hAnsiTheme="minorEastAsia" w:hint="eastAsia"/>
        </w:rPr>
      </w:pPr>
      <w:r>
        <w:rPr>
          <w:rFonts w:asciiTheme="minorEastAsia" w:hAnsiTheme="minorEastAsia"/>
        </w:rPr>
        <w:lastRenderedPageBreak/>
        <w:t>附件</w:t>
      </w:r>
    </w:p>
    <w:tbl>
      <w:tblPr>
        <w:tblW w:w="8899" w:type="dxa"/>
        <w:tblLayout w:type="fixed"/>
        <w:tblCellMar>
          <w:left w:w="0" w:type="dxa"/>
          <w:right w:w="0" w:type="dxa"/>
        </w:tblCellMar>
        <w:tblLook w:val="04A0" w:firstRow="1" w:lastRow="0" w:firstColumn="1" w:lastColumn="0" w:noHBand="0" w:noVBand="1"/>
      </w:tblPr>
      <w:tblGrid>
        <w:gridCol w:w="4556"/>
        <w:gridCol w:w="4343"/>
      </w:tblGrid>
      <w:tr w:rsidR="00A743FF" w14:paraId="15290E90" w14:textId="77777777" w:rsidTr="00515303">
        <w:trPr>
          <w:trHeight w:val="524"/>
        </w:trPr>
        <w:tc>
          <w:tcPr>
            <w:tcW w:w="4556"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32414CE" w14:textId="77777777" w:rsidR="00A743FF" w:rsidRDefault="00000000">
            <w:pPr>
              <w:pStyle w:val="a4"/>
              <w:widowControl/>
              <w:spacing w:beforeAutospacing="0" w:afterAutospacing="0"/>
              <w:jc w:val="center"/>
              <w:rPr>
                <w:rFonts w:ascii="楷体" w:eastAsia="楷体" w:hAnsi="楷体" w:cs="楷体" w:hint="eastAsia"/>
                <w:sz w:val="28"/>
                <w:szCs w:val="28"/>
              </w:rPr>
            </w:pPr>
            <w:r>
              <w:rPr>
                <w:rFonts w:ascii="楷体" w:eastAsia="楷体" w:hAnsi="楷体" w:cs="楷体" w:hint="eastAsia"/>
                <w:sz w:val="28"/>
                <w:szCs w:val="28"/>
              </w:rPr>
              <w:t>参加机构名单</w:t>
            </w:r>
          </w:p>
        </w:tc>
        <w:tc>
          <w:tcPr>
            <w:tcW w:w="4343"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9725647" w14:textId="77777777" w:rsidR="00A743FF" w:rsidRDefault="00000000">
            <w:pPr>
              <w:pStyle w:val="a4"/>
              <w:widowControl/>
              <w:spacing w:beforeAutospacing="0" w:afterAutospacing="0"/>
              <w:jc w:val="center"/>
              <w:rPr>
                <w:rFonts w:ascii="楷体" w:eastAsia="楷体" w:hAnsi="楷体" w:cs="楷体" w:hint="eastAsia"/>
                <w:sz w:val="28"/>
                <w:szCs w:val="28"/>
              </w:rPr>
            </w:pPr>
            <w:r>
              <w:rPr>
                <w:rFonts w:ascii="楷体" w:eastAsia="楷体" w:hAnsi="楷体" w:cs="楷体" w:hint="eastAsia"/>
                <w:sz w:val="28"/>
                <w:szCs w:val="28"/>
              </w:rPr>
              <w:t>参会人员</w:t>
            </w:r>
          </w:p>
        </w:tc>
      </w:tr>
      <w:tr w:rsidR="00A743FF" w14:paraId="68AED047"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3F72871"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广发证券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EFF2298"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高一岑</w:t>
            </w:r>
          </w:p>
        </w:tc>
      </w:tr>
      <w:tr w:rsidR="00A743FF" w14:paraId="205F18FD"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0D76AD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华创证券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280815E"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陈鹏</w:t>
            </w:r>
          </w:p>
        </w:tc>
      </w:tr>
      <w:tr w:rsidR="00A743FF" w14:paraId="5C32556F"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BCE26C7"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华创证券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1BBC3B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张皓月</w:t>
            </w:r>
          </w:p>
        </w:tc>
      </w:tr>
      <w:tr w:rsidR="00A743FF" w14:paraId="264EA1DD"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4300BD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国金证券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9C20ED1"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张子阳</w:t>
            </w:r>
          </w:p>
        </w:tc>
      </w:tr>
      <w:tr w:rsidR="00A743FF" w14:paraId="27DB9993"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6862007"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长江证券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074AD5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顾</w:t>
            </w:r>
            <w:proofErr w:type="gramStart"/>
            <w:r>
              <w:rPr>
                <w:rFonts w:ascii="楷体" w:eastAsia="楷体" w:hAnsi="楷体" w:cs="楷体" w:hint="eastAsia"/>
                <w:sz w:val="20"/>
                <w:szCs w:val="20"/>
              </w:rPr>
              <w:t>熀</w:t>
            </w:r>
            <w:proofErr w:type="gramEnd"/>
            <w:r>
              <w:rPr>
                <w:rFonts w:ascii="楷体" w:eastAsia="楷体" w:hAnsi="楷体" w:cs="楷体" w:hint="eastAsia"/>
                <w:sz w:val="20"/>
                <w:szCs w:val="20"/>
              </w:rPr>
              <w:t>乾</w:t>
            </w:r>
          </w:p>
        </w:tc>
      </w:tr>
      <w:tr w:rsidR="00A743FF" w14:paraId="2A047653"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C47BB6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w:t>
            </w:r>
            <w:proofErr w:type="gramStart"/>
            <w:r>
              <w:rPr>
                <w:rFonts w:ascii="楷体" w:eastAsia="楷体" w:hAnsi="楷体" w:cs="楷体" w:hint="eastAsia"/>
                <w:sz w:val="20"/>
                <w:szCs w:val="20"/>
              </w:rPr>
              <w:t>福证券</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36A7C3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吴潞梅</w:t>
            </w:r>
          </w:p>
        </w:tc>
      </w:tr>
      <w:tr w:rsidR="00A743FF" w14:paraId="7AA9FCED"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B5EF90B"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国泰海通</w:t>
            </w:r>
            <w:proofErr w:type="gramEnd"/>
            <w:r>
              <w:rPr>
                <w:rFonts w:ascii="楷体" w:eastAsia="楷体" w:hAnsi="楷体" w:cs="楷体" w:hint="eastAsia"/>
                <w:sz w:val="20"/>
                <w:szCs w:val="20"/>
              </w:rPr>
              <w:t>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5F6362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王艳君</w:t>
            </w:r>
          </w:p>
        </w:tc>
      </w:tr>
      <w:tr w:rsidR="00A743FF" w14:paraId="5C86AF83"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1B93C3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财信证券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70C9D6F"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刘敏</w:t>
            </w:r>
          </w:p>
        </w:tc>
      </w:tr>
      <w:tr w:rsidR="00A743FF" w14:paraId="7E6E349F"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7F3BE61"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w:t>
            </w:r>
            <w:proofErr w:type="gramStart"/>
            <w:r>
              <w:rPr>
                <w:rFonts w:ascii="楷体" w:eastAsia="楷体" w:hAnsi="楷体" w:cs="楷体" w:hint="eastAsia"/>
                <w:sz w:val="20"/>
                <w:szCs w:val="20"/>
              </w:rPr>
              <w:t>福证券</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20B055C"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魏征宇</w:t>
            </w:r>
            <w:proofErr w:type="gramEnd"/>
          </w:p>
        </w:tc>
      </w:tr>
      <w:tr w:rsidR="00A743FF" w14:paraId="5C9BE02E"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90624E9"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广发证券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D8C851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吕培宁</w:t>
            </w:r>
          </w:p>
        </w:tc>
      </w:tr>
      <w:tr w:rsidR="00A743FF" w14:paraId="49DA1989"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17927B7"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招商证券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5034F05"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施腾</w:t>
            </w:r>
            <w:proofErr w:type="gramEnd"/>
          </w:p>
        </w:tc>
      </w:tr>
      <w:tr w:rsidR="00A743FF" w14:paraId="019860E1"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CA77039"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天风证券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6BCAB9A"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陈炼</w:t>
            </w:r>
            <w:proofErr w:type="gramEnd"/>
          </w:p>
        </w:tc>
      </w:tr>
      <w:tr w:rsidR="00A743FF" w14:paraId="3F582CA6"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4CCD22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国盛证券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989E54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沈嘉妍</w:t>
            </w:r>
          </w:p>
        </w:tc>
      </w:tr>
      <w:tr w:rsidR="00A743FF" w14:paraId="46B80CAA"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F967B05"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上海申银万国证券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DA98ABE"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朱珺逸</w:t>
            </w:r>
          </w:p>
        </w:tc>
      </w:tr>
      <w:tr w:rsidR="00A743FF" w14:paraId="48340344"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4925F3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华泰证券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3892967"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季珂</w:t>
            </w:r>
          </w:p>
        </w:tc>
      </w:tr>
      <w:tr w:rsidR="00A743FF" w14:paraId="30A50820"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6B54F01"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招商证券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59E8E81"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李秋燕</w:t>
            </w:r>
          </w:p>
        </w:tc>
      </w:tr>
      <w:tr w:rsidR="00A743FF" w14:paraId="03816C20"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928946F"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华安证券股份</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002B07A"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王莺</w:t>
            </w:r>
            <w:proofErr w:type="gramEnd"/>
          </w:p>
        </w:tc>
      </w:tr>
      <w:tr w:rsidR="00A743FF" w14:paraId="757EF118"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8E1C5A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东方证券股份</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9B6471B"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于明正</w:t>
            </w:r>
          </w:p>
        </w:tc>
      </w:tr>
      <w:tr w:rsidR="00A743FF" w14:paraId="1829001B" w14:textId="77777777">
        <w:trPr>
          <w:trHeight w:val="90"/>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BEBD89F"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华安证券股份</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BB49350"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万定宇</w:t>
            </w:r>
            <w:proofErr w:type="gramEnd"/>
          </w:p>
        </w:tc>
      </w:tr>
      <w:tr w:rsidR="00A743FF" w14:paraId="0E953B54"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911279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四川发展证券投资基金</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7C26FBE"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刘宇翔</w:t>
            </w:r>
          </w:p>
        </w:tc>
      </w:tr>
      <w:tr w:rsidR="00A743FF" w14:paraId="51EDAA7D"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09D53BF"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国信证券股份</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D01F90D"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李瑞楠</w:t>
            </w:r>
            <w:proofErr w:type="gramEnd"/>
          </w:p>
        </w:tc>
      </w:tr>
      <w:tr w:rsidR="00A743FF" w14:paraId="1E01D8C9"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4A49A6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财通证券股份</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254666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肖珮</w:t>
            </w:r>
            <w:proofErr w:type="gramStart"/>
            <w:r>
              <w:rPr>
                <w:rFonts w:ascii="楷体" w:eastAsia="楷体" w:hAnsi="楷体" w:cs="楷体" w:hint="eastAsia"/>
                <w:sz w:val="20"/>
                <w:szCs w:val="20"/>
              </w:rPr>
              <w:t>菁</w:t>
            </w:r>
            <w:proofErr w:type="gramEnd"/>
          </w:p>
        </w:tc>
      </w:tr>
      <w:tr w:rsidR="00A743FF" w14:paraId="48C1A34A"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9B2844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上海界面财联社</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3325D59"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刘建</w:t>
            </w:r>
          </w:p>
        </w:tc>
      </w:tr>
      <w:tr w:rsidR="00A743FF" w14:paraId="11114F89"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60ED21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开源证券股份</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ACEE89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陈雪丽</w:t>
            </w:r>
          </w:p>
        </w:tc>
      </w:tr>
      <w:tr w:rsidR="00A743FF" w14:paraId="4CD383A1" w14:textId="77777777" w:rsidTr="00515303">
        <w:trPr>
          <w:trHeight w:val="26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7A633F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埃普斯国际(香港)</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E827FAB"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Eric</w:t>
            </w:r>
          </w:p>
        </w:tc>
      </w:tr>
      <w:tr w:rsidR="00A743FF" w14:paraId="473A3672"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8993C9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中信证券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01698B7"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施杨</w:t>
            </w:r>
            <w:proofErr w:type="gramEnd"/>
          </w:p>
        </w:tc>
      </w:tr>
      <w:tr w:rsidR="00A743FF" w14:paraId="1BAACE4A"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79EA4E5"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中泰证券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C761D2A"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严瑾</w:t>
            </w:r>
            <w:proofErr w:type="gramEnd"/>
          </w:p>
        </w:tc>
      </w:tr>
      <w:tr w:rsidR="00A743FF" w14:paraId="67F33A4F"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0E5C861"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兴业证券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66B35D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陈勇杰</w:t>
            </w:r>
          </w:p>
        </w:tc>
      </w:tr>
      <w:tr w:rsidR="00A743FF" w14:paraId="621E2EBD"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0CCED41"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国泰海通</w:t>
            </w:r>
            <w:proofErr w:type="gramEnd"/>
            <w:r>
              <w:rPr>
                <w:rFonts w:ascii="楷体" w:eastAsia="楷体" w:hAnsi="楷体" w:cs="楷体" w:hint="eastAsia"/>
                <w:sz w:val="20"/>
                <w:szCs w:val="20"/>
              </w:rPr>
              <w:t>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AE3C1E2"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巩健</w:t>
            </w:r>
          </w:p>
        </w:tc>
      </w:tr>
      <w:tr w:rsidR="00A743FF" w14:paraId="05754E04"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AC86532"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浙商证券</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BDF273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胡文舟</w:t>
            </w:r>
          </w:p>
        </w:tc>
      </w:tr>
      <w:tr w:rsidR="00A743FF" w14:paraId="24B7CB8B" w14:textId="77777777" w:rsidTr="00515303">
        <w:trPr>
          <w:trHeight w:val="294"/>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2FFBC7B"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泰玥众合(北京)</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59148D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孙岩</w:t>
            </w:r>
          </w:p>
        </w:tc>
      </w:tr>
      <w:tr w:rsidR="00A743FF" w14:paraId="3C1924DF"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E16DBAE"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北京东方</w:t>
            </w:r>
            <w:proofErr w:type="gramStart"/>
            <w:r>
              <w:rPr>
                <w:rFonts w:ascii="楷体" w:eastAsia="楷体" w:hAnsi="楷体" w:cs="楷体" w:hint="eastAsia"/>
                <w:sz w:val="20"/>
                <w:szCs w:val="20"/>
              </w:rPr>
              <w:t>睿</w:t>
            </w:r>
            <w:proofErr w:type="gramEnd"/>
            <w:r>
              <w:rPr>
                <w:rFonts w:ascii="楷体" w:eastAsia="楷体" w:hAnsi="楷体" w:cs="楷体" w:hint="eastAsia"/>
                <w:sz w:val="20"/>
                <w:szCs w:val="20"/>
              </w:rPr>
              <w:t>石</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BB55E0F"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才典</w:t>
            </w:r>
            <w:proofErr w:type="gramEnd"/>
          </w:p>
        </w:tc>
      </w:tr>
      <w:tr w:rsidR="00A743FF" w14:paraId="7F4711F5"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CF2D102"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光大证券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1D0D6D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刘勇</w:t>
            </w:r>
          </w:p>
        </w:tc>
      </w:tr>
      <w:tr w:rsidR="00A743FF" w14:paraId="7C2851B6"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626175B"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盈峰资管</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80B7AC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刘东渐</w:t>
            </w:r>
          </w:p>
        </w:tc>
      </w:tr>
      <w:tr w:rsidR="00A743FF" w14:paraId="3E4547DC"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D544EF5"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lastRenderedPageBreak/>
              <w:t>上海</w:t>
            </w:r>
            <w:proofErr w:type="gramStart"/>
            <w:r>
              <w:rPr>
                <w:rFonts w:ascii="楷体" w:eastAsia="楷体" w:hAnsi="楷体" w:cs="楷体" w:hint="eastAsia"/>
                <w:sz w:val="20"/>
                <w:szCs w:val="20"/>
              </w:rPr>
              <w:t>七叶树资管</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D94B58E"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王飞</w:t>
            </w:r>
          </w:p>
        </w:tc>
      </w:tr>
      <w:tr w:rsidR="00A743FF" w14:paraId="7D74C407"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CEC2C3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中国国际金融</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214820F"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龙友琪</w:t>
            </w:r>
            <w:proofErr w:type="gramEnd"/>
          </w:p>
        </w:tc>
      </w:tr>
      <w:tr w:rsidR="00A743FF" w14:paraId="33BCF1FB"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9F6A752"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长江证券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4B20B5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刘文</w:t>
            </w:r>
            <w:proofErr w:type="gramStart"/>
            <w:r>
              <w:rPr>
                <w:rFonts w:ascii="楷体" w:eastAsia="楷体" w:hAnsi="楷体" w:cs="楷体" w:hint="eastAsia"/>
                <w:sz w:val="20"/>
                <w:szCs w:val="20"/>
              </w:rPr>
              <w:t>一</w:t>
            </w:r>
            <w:proofErr w:type="gramEnd"/>
          </w:p>
        </w:tc>
      </w:tr>
      <w:tr w:rsidR="00A743FF" w14:paraId="2630CD5B"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B68FD6C"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国</w:t>
            </w:r>
            <w:proofErr w:type="gramStart"/>
            <w:r>
              <w:rPr>
                <w:rFonts w:ascii="楷体" w:eastAsia="楷体" w:hAnsi="楷体" w:cs="楷体" w:hint="eastAsia"/>
                <w:sz w:val="20"/>
                <w:szCs w:val="20"/>
              </w:rPr>
              <w:t>海证券</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C54C71E"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熊子兴</w:t>
            </w:r>
          </w:p>
        </w:tc>
      </w:tr>
      <w:tr w:rsidR="00A743FF" w14:paraId="72A98917" w14:textId="77777777" w:rsidTr="00515303">
        <w:trPr>
          <w:trHeight w:val="341"/>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6F93DA5"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玄卜投资</w:t>
            </w:r>
            <w:proofErr w:type="gramEnd"/>
            <w:r>
              <w:rPr>
                <w:rFonts w:ascii="楷体" w:eastAsia="楷体" w:hAnsi="楷体" w:cs="楷体" w:hint="eastAsia"/>
                <w:sz w:val="20"/>
                <w:szCs w:val="20"/>
              </w:rPr>
              <w:t>(上海)</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89AB876"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夏</w:t>
            </w:r>
            <w:proofErr w:type="gramStart"/>
            <w:r>
              <w:rPr>
                <w:rFonts w:ascii="楷体" w:eastAsia="楷体" w:hAnsi="楷体" w:cs="楷体" w:hint="eastAsia"/>
                <w:sz w:val="20"/>
                <w:szCs w:val="20"/>
              </w:rPr>
              <w:t>一</w:t>
            </w:r>
            <w:proofErr w:type="gramEnd"/>
          </w:p>
        </w:tc>
      </w:tr>
      <w:tr w:rsidR="00A743FF" w14:paraId="2FACD19A"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B3B20C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财通证券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0B12B0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江路</w:t>
            </w:r>
          </w:p>
        </w:tc>
      </w:tr>
      <w:tr w:rsidR="00A743FF" w14:paraId="7A4CD895"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37696F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开源证券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73C017B"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莫子非</w:t>
            </w:r>
          </w:p>
        </w:tc>
      </w:tr>
      <w:tr w:rsidR="00A743FF" w14:paraId="46418243"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601887D"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华西证券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EBDB4E2"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魏心欣</w:t>
            </w:r>
            <w:proofErr w:type="gramEnd"/>
          </w:p>
        </w:tc>
      </w:tr>
      <w:tr w:rsidR="00A743FF" w14:paraId="76A63159"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7EE1C5C"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永赢基金</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7B95E1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王昕妍</w:t>
            </w:r>
          </w:p>
        </w:tc>
      </w:tr>
      <w:tr w:rsidR="00A743FF" w14:paraId="2FCE5DC2" w14:textId="77777777" w:rsidTr="00515303">
        <w:trPr>
          <w:trHeight w:val="257"/>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A93CEBE"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Pro Tactical Global</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E8D283C"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陶益文</w:t>
            </w:r>
            <w:proofErr w:type="gramEnd"/>
          </w:p>
        </w:tc>
      </w:tr>
      <w:tr w:rsidR="00A743FF" w14:paraId="33519FE3"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F025326"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湖南八零</w:t>
            </w:r>
            <w:proofErr w:type="gramStart"/>
            <w:r>
              <w:rPr>
                <w:rFonts w:ascii="楷体" w:eastAsia="楷体" w:hAnsi="楷体" w:cs="楷体" w:hint="eastAsia"/>
                <w:sz w:val="20"/>
                <w:szCs w:val="20"/>
              </w:rPr>
              <w:t>后资管</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5F46255"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田超平</w:t>
            </w:r>
            <w:proofErr w:type="gramEnd"/>
          </w:p>
        </w:tc>
      </w:tr>
      <w:tr w:rsidR="00A743FF" w14:paraId="51FC815B"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0733AD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西安</w:t>
            </w:r>
            <w:proofErr w:type="gramStart"/>
            <w:r>
              <w:rPr>
                <w:rFonts w:ascii="楷体" w:eastAsia="楷体" w:hAnsi="楷体" w:cs="楷体" w:hint="eastAsia"/>
                <w:sz w:val="20"/>
                <w:szCs w:val="20"/>
              </w:rPr>
              <w:t>敦</w:t>
            </w:r>
            <w:proofErr w:type="gramEnd"/>
            <w:r>
              <w:rPr>
                <w:rFonts w:ascii="楷体" w:eastAsia="楷体" w:hAnsi="楷体" w:cs="楷体" w:hint="eastAsia"/>
                <w:sz w:val="20"/>
                <w:szCs w:val="20"/>
              </w:rPr>
              <w:t>成私募基金</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9735812"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张晓艳</w:t>
            </w:r>
          </w:p>
        </w:tc>
      </w:tr>
      <w:tr w:rsidR="00A743FF" w14:paraId="4752BD68"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DE1EA5C"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中信证券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4002D55"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彭家乐</w:t>
            </w:r>
          </w:p>
        </w:tc>
      </w:tr>
      <w:tr w:rsidR="00A743FF" w14:paraId="637EE1A7" w14:textId="77777777" w:rsidTr="00515303">
        <w:trPr>
          <w:trHeight w:val="321"/>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9627EE9"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鸿运私募基金</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641391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朱伟华</w:t>
            </w:r>
          </w:p>
        </w:tc>
      </w:tr>
      <w:tr w:rsidR="00A743FF" w14:paraId="3C358BBD" w14:textId="77777777" w:rsidTr="00515303">
        <w:trPr>
          <w:trHeight w:val="369"/>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CDFFCD6"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全天候私募证券基金</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75FCA96"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胡聪玲</w:t>
            </w:r>
            <w:proofErr w:type="gramEnd"/>
          </w:p>
        </w:tc>
      </w:tr>
      <w:tr w:rsidR="00A743FF" w14:paraId="7929272F"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720461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山东金仕达投资</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19D27D4"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宁帅</w:t>
            </w:r>
            <w:proofErr w:type="gramEnd"/>
          </w:p>
        </w:tc>
      </w:tr>
      <w:tr w:rsidR="00A743FF" w14:paraId="71C6155F"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B2CB0C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方正证券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6DD6A49"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邱星皓</w:t>
            </w:r>
          </w:p>
        </w:tc>
      </w:tr>
      <w:tr w:rsidR="00A743FF" w14:paraId="6582EA73"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2FB95FA"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财达证券</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CB49838"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向正富</w:t>
            </w:r>
          </w:p>
        </w:tc>
      </w:tr>
      <w:tr w:rsidR="00A743FF" w14:paraId="7B4A10DA"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033016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太平洋证券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3E7697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程晓东</w:t>
            </w:r>
          </w:p>
        </w:tc>
      </w:tr>
      <w:tr w:rsidR="00A743FF" w14:paraId="2028653E"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55F3B27"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北京中军投资</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12D6C06"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孙树明</w:t>
            </w:r>
          </w:p>
        </w:tc>
      </w:tr>
      <w:tr w:rsidR="00A743FF" w14:paraId="362E5DBB"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AC7C590"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汇</w:t>
            </w:r>
            <w:proofErr w:type="gramStart"/>
            <w:r>
              <w:rPr>
                <w:rFonts w:ascii="楷体" w:eastAsia="楷体" w:hAnsi="楷体" w:cs="楷体" w:hint="eastAsia"/>
                <w:sz w:val="20"/>
                <w:szCs w:val="20"/>
              </w:rPr>
              <w:t>丰晋信</w:t>
            </w:r>
            <w:proofErr w:type="gramEnd"/>
            <w:r>
              <w:rPr>
                <w:rFonts w:ascii="楷体" w:eastAsia="楷体" w:hAnsi="楷体" w:cs="楷体" w:hint="eastAsia"/>
                <w:sz w:val="20"/>
                <w:szCs w:val="20"/>
              </w:rPr>
              <w:t>基金</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F126EF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李文华</w:t>
            </w:r>
          </w:p>
        </w:tc>
      </w:tr>
      <w:tr w:rsidR="00A743FF" w14:paraId="532A0CA5"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6996BA9"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深圳市鲲鹏恒</w:t>
            </w:r>
            <w:proofErr w:type="gramStart"/>
            <w:r>
              <w:rPr>
                <w:rFonts w:ascii="楷体" w:eastAsia="楷体" w:hAnsi="楷体" w:cs="楷体" w:hint="eastAsia"/>
                <w:sz w:val="20"/>
                <w:szCs w:val="20"/>
              </w:rPr>
              <w:t>隆投资</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D43D91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彭飞虹</w:t>
            </w:r>
          </w:p>
        </w:tc>
      </w:tr>
      <w:tr w:rsidR="00A743FF" w14:paraId="7F2238F8"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111BFB7"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上海万丰友方投资</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31261FB"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胡江宾</w:t>
            </w:r>
            <w:proofErr w:type="gramEnd"/>
          </w:p>
        </w:tc>
      </w:tr>
      <w:tr w:rsidR="00A743FF" w14:paraId="712793D9"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2E70175"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华鑫证券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7364F0C"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娄倩</w:t>
            </w:r>
          </w:p>
        </w:tc>
      </w:tr>
      <w:tr w:rsidR="00A743FF" w14:paraId="2769DDCA"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51D80359"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中国银河证券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767696B"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谢芝优</w:t>
            </w:r>
            <w:proofErr w:type="gramEnd"/>
          </w:p>
        </w:tc>
      </w:tr>
      <w:tr w:rsidR="00A743FF" w14:paraId="01F026D5"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7D29B06"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上海九方云智能科技</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4C0E74B"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王德慧</w:t>
            </w:r>
          </w:p>
        </w:tc>
      </w:tr>
      <w:tr w:rsidR="00A743FF" w14:paraId="312AE692"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1943F048"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润晖投资</w:t>
            </w:r>
            <w:proofErr w:type="gramEnd"/>
            <w:r>
              <w:rPr>
                <w:rFonts w:ascii="楷体" w:eastAsia="楷体" w:hAnsi="楷体" w:cs="楷体" w:hint="eastAsia"/>
                <w:sz w:val="20"/>
                <w:szCs w:val="20"/>
              </w:rPr>
              <w:t>管理香港</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FFB7175"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李勇</w:t>
            </w:r>
          </w:p>
        </w:tc>
      </w:tr>
      <w:tr w:rsidR="00A743FF" w14:paraId="634C5828"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2B18DF2"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西部证券</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C46E16E" w14:textId="77777777" w:rsidR="00A743FF" w:rsidRDefault="00000000">
            <w:pPr>
              <w:pStyle w:val="a4"/>
              <w:widowControl/>
              <w:spacing w:beforeAutospacing="0" w:afterAutospacing="0"/>
              <w:jc w:val="center"/>
              <w:rPr>
                <w:rFonts w:ascii="楷体" w:eastAsia="楷体" w:hAnsi="楷体" w:cs="楷体" w:hint="eastAsia"/>
                <w:sz w:val="20"/>
                <w:szCs w:val="20"/>
              </w:rPr>
            </w:pPr>
            <w:proofErr w:type="gramStart"/>
            <w:r>
              <w:rPr>
                <w:rFonts w:ascii="楷体" w:eastAsia="楷体" w:hAnsi="楷体" w:cs="楷体" w:hint="eastAsia"/>
                <w:sz w:val="20"/>
                <w:szCs w:val="20"/>
              </w:rPr>
              <w:t>熊航</w:t>
            </w:r>
            <w:proofErr w:type="gramEnd"/>
          </w:p>
        </w:tc>
      </w:tr>
      <w:tr w:rsidR="00A743FF" w14:paraId="32205F0B"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D252BBD"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w:t>
            </w:r>
            <w:proofErr w:type="gramStart"/>
            <w:r>
              <w:rPr>
                <w:rFonts w:ascii="楷体" w:eastAsia="楷体" w:hAnsi="楷体" w:cs="楷体" w:hint="eastAsia"/>
                <w:sz w:val="20"/>
                <w:szCs w:val="20"/>
              </w:rPr>
              <w:t>源证券</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2A5DD838"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冯佳文</w:t>
            </w:r>
          </w:p>
        </w:tc>
      </w:tr>
      <w:tr w:rsidR="00A743FF" w14:paraId="25570BC3"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DD0F553"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华</w:t>
            </w:r>
            <w:proofErr w:type="gramStart"/>
            <w:r>
              <w:rPr>
                <w:rFonts w:ascii="楷体" w:eastAsia="楷体" w:hAnsi="楷体" w:cs="楷体" w:hint="eastAsia"/>
                <w:sz w:val="20"/>
                <w:szCs w:val="20"/>
              </w:rPr>
              <w:t>福证券</w:t>
            </w:r>
            <w:proofErr w:type="gramEnd"/>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4C94E9A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赵雅斐</w:t>
            </w:r>
          </w:p>
        </w:tc>
      </w:tr>
      <w:tr w:rsidR="00A743FF" w14:paraId="067A6844" w14:textId="77777777">
        <w:trPr>
          <w:trHeight w:val="302"/>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7C8C281C"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上海融</w:t>
            </w:r>
            <w:proofErr w:type="gramStart"/>
            <w:r>
              <w:rPr>
                <w:rFonts w:ascii="楷体" w:eastAsia="楷体" w:hAnsi="楷体" w:cs="楷体" w:hint="eastAsia"/>
                <w:sz w:val="20"/>
                <w:szCs w:val="20"/>
              </w:rPr>
              <w:t>世</w:t>
            </w:r>
            <w:proofErr w:type="gramEnd"/>
            <w:r>
              <w:rPr>
                <w:rFonts w:ascii="楷体" w:eastAsia="楷体" w:hAnsi="楷体" w:cs="楷体" w:hint="eastAsia"/>
                <w:sz w:val="20"/>
                <w:szCs w:val="20"/>
              </w:rPr>
              <w:t>私募基金</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3CA6D074"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张伟光</w:t>
            </w:r>
          </w:p>
        </w:tc>
      </w:tr>
      <w:tr w:rsidR="00A743FF" w14:paraId="1D8CA7CC" w14:textId="77777777">
        <w:trPr>
          <w:trHeight w:val="331"/>
        </w:trPr>
        <w:tc>
          <w:tcPr>
            <w:tcW w:w="4556"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04E81AB8"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中信期货</w:t>
            </w:r>
          </w:p>
        </w:tc>
        <w:tc>
          <w:tcPr>
            <w:tcW w:w="4343" w:type="dxa"/>
            <w:tcBorders>
              <w:top w:val="single" w:sz="8" w:space="0" w:color="000000"/>
              <w:left w:val="single" w:sz="8" w:space="0" w:color="000000"/>
              <w:bottom w:val="single" w:sz="8" w:space="0" w:color="000000"/>
              <w:right w:val="single" w:sz="8" w:space="0" w:color="000000"/>
            </w:tcBorders>
            <w:tcMar>
              <w:left w:w="40" w:type="dxa"/>
              <w:bottom w:w="40" w:type="dxa"/>
              <w:right w:w="40" w:type="dxa"/>
            </w:tcMar>
            <w:vAlign w:val="center"/>
          </w:tcPr>
          <w:p w14:paraId="619D56FA" w14:textId="77777777" w:rsidR="00A743FF" w:rsidRDefault="00000000">
            <w:pPr>
              <w:pStyle w:val="a4"/>
              <w:widowControl/>
              <w:spacing w:beforeAutospacing="0" w:afterAutospacing="0"/>
              <w:jc w:val="center"/>
              <w:rPr>
                <w:rFonts w:ascii="楷体" w:eastAsia="楷体" w:hAnsi="楷体" w:cs="楷体" w:hint="eastAsia"/>
                <w:sz w:val="20"/>
                <w:szCs w:val="20"/>
              </w:rPr>
            </w:pPr>
            <w:r>
              <w:rPr>
                <w:rFonts w:ascii="楷体" w:eastAsia="楷体" w:hAnsi="楷体" w:cs="楷体" w:hint="eastAsia"/>
                <w:sz w:val="20"/>
                <w:szCs w:val="20"/>
              </w:rPr>
              <w:t>魏巍</w:t>
            </w:r>
          </w:p>
        </w:tc>
      </w:tr>
    </w:tbl>
    <w:p w14:paraId="4D464020" w14:textId="77777777" w:rsidR="00A743FF" w:rsidRDefault="00A743FF"/>
    <w:sectPr w:rsidR="00A74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default"/>
  </w:font>
  <w:font w:name="songti sc">
    <w:altName w:val="Segoe Print"/>
    <w:charset w:val="00"/>
    <w:family w:val="auto"/>
    <w:pitch w:val="default"/>
  </w:font>
  <w:font w:name="lucida grande">
    <w:altName w:val="Segoe Print"/>
    <w:charset w:val="00"/>
    <w:family w:val="auto"/>
    <w:pitch w:val="default"/>
  </w:font>
  <w:font w:name="Trebuchet MS">
    <w:panose1 w:val="020B0603020202020204"/>
    <w:charset w:val="00"/>
    <w:family w:val="swiss"/>
    <w:pitch w:val="variable"/>
    <w:sig w:usb0="00000687" w:usb1="00000000" w:usb2="00000000" w:usb3="00000000" w:csb0="0000009F" w:csb1="00000000"/>
  </w:font>
  <w:font w:name="Songti SC Regular">
    <w:altName w:val="Segoe Print"/>
    <w:charset w:val="00"/>
    <w:family w:val="auto"/>
    <w:pitch w:val="default"/>
  </w:font>
  <w:font w:name="Wingdings 2">
    <w:altName w:val="Wingdings"/>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465F58"/>
    <w:multiLevelType w:val="singleLevel"/>
    <w:tmpl w:val="A2465F58"/>
    <w:lvl w:ilvl="0">
      <w:start w:val="1"/>
      <w:numFmt w:val="decimal"/>
      <w:suff w:val="nothing"/>
      <w:lvlText w:val="%1、"/>
      <w:lvlJc w:val="left"/>
    </w:lvl>
  </w:abstractNum>
  <w:abstractNum w:abstractNumId="1" w15:restartNumberingAfterBreak="0">
    <w:nsid w:val="1C62DBF8"/>
    <w:multiLevelType w:val="singleLevel"/>
    <w:tmpl w:val="1C62DBF8"/>
    <w:lvl w:ilvl="0">
      <w:start w:val="6"/>
      <w:numFmt w:val="decimal"/>
      <w:suff w:val="nothing"/>
      <w:lvlText w:val="%1、"/>
      <w:lvlJc w:val="left"/>
    </w:lvl>
  </w:abstractNum>
  <w:num w:numId="1" w16cid:durableId="881750175">
    <w:abstractNumId w:val="0"/>
  </w:num>
  <w:num w:numId="2" w16cid:durableId="1769082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g2MjA4OTcyOGVlNTg2NmVmNTIwYzhlMTA1MjE5YmYifQ=="/>
  </w:docVars>
  <w:rsids>
    <w:rsidRoot w:val="1D6C1E45"/>
    <w:rsid w:val="000F6B00"/>
    <w:rsid w:val="00186BF0"/>
    <w:rsid w:val="00283799"/>
    <w:rsid w:val="004C584B"/>
    <w:rsid w:val="00515303"/>
    <w:rsid w:val="00556905"/>
    <w:rsid w:val="00710A6C"/>
    <w:rsid w:val="00853860"/>
    <w:rsid w:val="0087485C"/>
    <w:rsid w:val="008D7A27"/>
    <w:rsid w:val="00A71EDF"/>
    <w:rsid w:val="00A743FF"/>
    <w:rsid w:val="00B03AEF"/>
    <w:rsid w:val="00C17426"/>
    <w:rsid w:val="00CC3A9C"/>
    <w:rsid w:val="00ED67BD"/>
    <w:rsid w:val="00F53AF2"/>
    <w:rsid w:val="01736E3F"/>
    <w:rsid w:val="01746D8C"/>
    <w:rsid w:val="072D5876"/>
    <w:rsid w:val="08B77631"/>
    <w:rsid w:val="0BAB1872"/>
    <w:rsid w:val="0C566AD6"/>
    <w:rsid w:val="0C7C73F5"/>
    <w:rsid w:val="0C90497A"/>
    <w:rsid w:val="0EAA0B1C"/>
    <w:rsid w:val="0ED73F12"/>
    <w:rsid w:val="13CF3B34"/>
    <w:rsid w:val="14E53641"/>
    <w:rsid w:val="18761AF8"/>
    <w:rsid w:val="18F83F3F"/>
    <w:rsid w:val="1A246C0A"/>
    <w:rsid w:val="1A5C7B04"/>
    <w:rsid w:val="1C83796D"/>
    <w:rsid w:val="1CBC0BBE"/>
    <w:rsid w:val="1D0F0A1C"/>
    <w:rsid w:val="1D6C1E45"/>
    <w:rsid w:val="1D9B7C3B"/>
    <w:rsid w:val="1E466501"/>
    <w:rsid w:val="1E557424"/>
    <w:rsid w:val="1E6A3B13"/>
    <w:rsid w:val="1EF61837"/>
    <w:rsid w:val="2043542A"/>
    <w:rsid w:val="25273987"/>
    <w:rsid w:val="25396B3D"/>
    <w:rsid w:val="25820095"/>
    <w:rsid w:val="285C4F59"/>
    <w:rsid w:val="28D42E04"/>
    <w:rsid w:val="2936795C"/>
    <w:rsid w:val="297E1B09"/>
    <w:rsid w:val="29D132B1"/>
    <w:rsid w:val="2C2422F5"/>
    <w:rsid w:val="2CC03484"/>
    <w:rsid w:val="2DC9107C"/>
    <w:rsid w:val="2F3D7F1F"/>
    <w:rsid w:val="30A05DB0"/>
    <w:rsid w:val="317E5721"/>
    <w:rsid w:val="32B013B3"/>
    <w:rsid w:val="349124F1"/>
    <w:rsid w:val="35DC5F21"/>
    <w:rsid w:val="36C80A37"/>
    <w:rsid w:val="378620B5"/>
    <w:rsid w:val="387743D9"/>
    <w:rsid w:val="396C52DB"/>
    <w:rsid w:val="3A225A15"/>
    <w:rsid w:val="3CBE7BFC"/>
    <w:rsid w:val="3D026779"/>
    <w:rsid w:val="3D9C3141"/>
    <w:rsid w:val="407878BA"/>
    <w:rsid w:val="40882A06"/>
    <w:rsid w:val="417206D5"/>
    <w:rsid w:val="41FB0D8F"/>
    <w:rsid w:val="42495610"/>
    <w:rsid w:val="44DF2E05"/>
    <w:rsid w:val="46582153"/>
    <w:rsid w:val="46CD6844"/>
    <w:rsid w:val="46FE2E1B"/>
    <w:rsid w:val="47613FBA"/>
    <w:rsid w:val="47651DF1"/>
    <w:rsid w:val="47C93D94"/>
    <w:rsid w:val="481C1340"/>
    <w:rsid w:val="48486C31"/>
    <w:rsid w:val="48FD12B3"/>
    <w:rsid w:val="49BC7055"/>
    <w:rsid w:val="4AE21AA0"/>
    <w:rsid w:val="4AFE7360"/>
    <w:rsid w:val="4B5856BF"/>
    <w:rsid w:val="4BC623CC"/>
    <w:rsid w:val="4DA92C5A"/>
    <w:rsid w:val="4ECB517D"/>
    <w:rsid w:val="4ED03489"/>
    <w:rsid w:val="4F805498"/>
    <w:rsid w:val="50D56CD4"/>
    <w:rsid w:val="523A5B1F"/>
    <w:rsid w:val="525D42F7"/>
    <w:rsid w:val="544113E6"/>
    <w:rsid w:val="54FE4BE1"/>
    <w:rsid w:val="56DA7B2D"/>
    <w:rsid w:val="56FD753C"/>
    <w:rsid w:val="59C16216"/>
    <w:rsid w:val="5AA30AE1"/>
    <w:rsid w:val="5DFD550C"/>
    <w:rsid w:val="5F59523E"/>
    <w:rsid w:val="5F732F36"/>
    <w:rsid w:val="61A34083"/>
    <w:rsid w:val="627B663F"/>
    <w:rsid w:val="63E638BD"/>
    <w:rsid w:val="64086A19"/>
    <w:rsid w:val="64396710"/>
    <w:rsid w:val="64B41A79"/>
    <w:rsid w:val="65335008"/>
    <w:rsid w:val="65C90072"/>
    <w:rsid w:val="6AC41FD2"/>
    <w:rsid w:val="6C9F4AA4"/>
    <w:rsid w:val="6CDB3952"/>
    <w:rsid w:val="6FAF1794"/>
    <w:rsid w:val="70F22B54"/>
    <w:rsid w:val="747C51CF"/>
    <w:rsid w:val="75EA4FE2"/>
    <w:rsid w:val="75F823B5"/>
    <w:rsid w:val="770726D5"/>
    <w:rsid w:val="77F9150C"/>
    <w:rsid w:val="780F5216"/>
    <w:rsid w:val="79633BDA"/>
    <w:rsid w:val="79BA685E"/>
    <w:rsid w:val="7A450D78"/>
    <w:rsid w:val="7A5A1876"/>
    <w:rsid w:val="7AAC6D0A"/>
    <w:rsid w:val="7B6A336C"/>
    <w:rsid w:val="7CDD7C81"/>
    <w:rsid w:val="7D2E485A"/>
    <w:rsid w:val="7D6668C5"/>
    <w:rsid w:val="7E411335"/>
    <w:rsid w:val="7F88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B3E4B"/>
  <w15:docId w15:val="{B53D087E-4AE6-47B2-95AA-74D98CE5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4">
    <w:name w:val="Normal (Web)"/>
    <w:basedOn w:val="a"/>
    <w:autoRedefine/>
    <w:qFormat/>
    <w:pPr>
      <w:spacing w:beforeAutospacing="1" w:afterAutospacing="1"/>
      <w:jc w:val="left"/>
    </w:pPr>
    <w:rPr>
      <w:rFonts w:cs="Times New Roman"/>
      <w:kern w:val="0"/>
      <w:sz w:val="24"/>
    </w:rPr>
  </w:style>
  <w:style w:type="character" w:styleId="a5">
    <w:name w:val="Strong"/>
    <w:basedOn w:val="a0"/>
    <w:qFormat/>
    <w:rPr>
      <w:b/>
    </w:rPr>
  </w:style>
  <w:style w:type="paragraph" w:customStyle="1" w:styleId="p1">
    <w:name w:val="p1"/>
    <w:basedOn w:val="a"/>
    <w:autoRedefine/>
    <w:qFormat/>
    <w:pPr>
      <w:ind w:firstLine="480"/>
      <w:jc w:val="left"/>
    </w:pPr>
    <w:rPr>
      <w:rFonts w:ascii="Times" w:eastAsia="Times" w:hAnsi="Times" w:cs="Times New Roman"/>
      <w:color w:val="000000"/>
      <w:kern w:val="0"/>
      <w:sz w:val="24"/>
    </w:rPr>
  </w:style>
  <w:style w:type="character" w:customStyle="1" w:styleId="s1">
    <w:name w:val="s1"/>
    <w:basedOn w:val="a0"/>
    <w:autoRedefine/>
    <w:qFormat/>
    <w:rPr>
      <w:rFonts w:ascii="songti sc" w:eastAsia="songti sc" w:hAnsi="songti sc" w:cs="songti sc" w:hint="eastAsia"/>
      <w:sz w:val="24"/>
      <w:szCs w:val="24"/>
    </w:rPr>
  </w:style>
  <w:style w:type="character" w:customStyle="1" w:styleId="s2">
    <w:name w:val="s2"/>
    <w:basedOn w:val="a0"/>
    <w:autoRedefine/>
    <w:qFormat/>
  </w:style>
  <w:style w:type="paragraph" w:customStyle="1" w:styleId="p2">
    <w:name w:val="p2"/>
    <w:basedOn w:val="a"/>
    <w:autoRedefine/>
    <w:qFormat/>
    <w:pPr>
      <w:ind w:firstLine="480"/>
      <w:jc w:val="center"/>
    </w:pPr>
    <w:rPr>
      <w:rFonts w:ascii="songti sc" w:eastAsia="songti sc" w:hAnsi="songti sc" w:cs="Times New Roman" w:hint="eastAsia"/>
      <w:color w:val="000000"/>
      <w:kern w:val="0"/>
      <w:sz w:val="24"/>
    </w:rPr>
  </w:style>
  <w:style w:type="paragraph" w:customStyle="1" w:styleId="p3">
    <w:name w:val="p3"/>
    <w:basedOn w:val="a"/>
    <w:autoRedefine/>
    <w:qFormat/>
    <w:pPr>
      <w:ind w:firstLine="480"/>
      <w:jc w:val="right"/>
    </w:pPr>
    <w:rPr>
      <w:rFonts w:ascii="Times" w:eastAsia="Times" w:hAnsi="Times" w:cs="Times New Roman"/>
      <w:color w:val="000000"/>
      <w:kern w:val="0"/>
      <w:sz w:val="24"/>
    </w:rPr>
  </w:style>
  <w:style w:type="paragraph" w:customStyle="1" w:styleId="p4">
    <w:name w:val="p4"/>
    <w:basedOn w:val="a"/>
    <w:autoRedefine/>
    <w:qFormat/>
    <w:pPr>
      <w:jc w:val="left"/>
    </w:pPr>
    <w:rPr>
      <w:rFonts w:ascii="songti sc" w:eastAsia="songti sc" w:hAnsi="songti sc" w:cs="Times New Roman" w:hint="eastAsia"/>
      <w:color w:val="000000"/>
      <w:kern w:val="0"/>
      <w:sz w:val="24"/>
    </w:rPr>
  </w:style>
  <w:style w:type="paragraph" w:customStyle="1" w:styleId="p5">
    <w:name w:val="p5"/>
    <w:basedOn w:val="a"/>
    <w:autoRedefine/>
    <w:qFormat/>
    <w:pPr>
      <w:spacing w:after="100"/>
      <w:jc w:val="left"/>
    </w:pPr>
    <w:rPr>
      <w:rFonts w:ascii="songti sc" w:eastAsia="songti sc" w:hAnsi="songti sc" w:cs="Times New Roman"/>
      <w:color w:val="000000"/>
      <w:kern w:val="0"/>
      <w:sz w:val="24"/>
    </w:rPr>
  </w:style>
  <w:style w:type="character" w:customStyle="1" w:styleId="s3">
    <w:name w:val="s3"/>
    <w:basedOn w:val="a0"/>
    <w:autoRedefine/>
    <w:qFormat/>
    <w:rPr>
      <w:rFonts w:ascii="lucida grande" w:eastAsia="lucida grande" w:hAnsi="lucida grande" w:cs="lucida grande"/>
      <w:sz w:val="24"/>
      <w:szCs w:val="24"/>
    </w:rPr>
  </w:style>
  <w:style w:type="character" w:customStyle="1" w:styleId="s4">
    <w:name w:val="s4"/>
    <w:basedOn w:val="a0"/>
    <w:autoRedefine/>
    <w:qFormat/>
    <w:rPr>
      <w:rFonts w:ascii="Times" w:eastAsia="Times" w:hAnsi="Times" w:cs="Times"/>
      <w:sz w:val="24"/>
      <w:szCs w:val="24"/>
    </w:rPr>
  </w:style>
  <w:style w:type="paragraph" w:customStyle="1" w:styleId="p6">
    <w:name w:val="p6"/>
    <w:basedOn w:val="a"/>
    <w:autoRedefine/>
    <w:qFormat/>
    <w:pPr>
      <w:shd w:val="clear" w:color="auto" w:fill="FFFFFF"/>
      <w:spacing w:after="240" w:line="440" w:lineRule="atLeast"/>
      <w:jc w:val="left"/>
    </w:pPr>
    <w:rPr>
      <w:rFonts w:ascii="songti sc" w:eastAsia="songti sc" w:hAnsi="songti sc" w:cs="Times New Roman" w:hint="eastAsia"/>
      <w:color w:val="000000"/>
      <w:kern w:val="0"/>
      <w:sz w:val="24"/>
    </w:rPr>
  </w:style>
  <w:style w:type="paragraph" w:customStyle="1" w:styleId="p8">
    <w:name w:val="p8"/>
    <w:basedOn w:val="a"/>
    <w:autoRedefine/>
    <w:qFormat/>
    <w:pPr>
      <w:spacing w:after="240" w:line="420" w:lineRule="atLeast"/>
      <w:jc w:val="left"/>
    </w:pPr>
    <w:rPr>
      <w:rFonts w:ascii="songti sc" w:eastAsia="songti sc" w:hAnsi="songti sc" w:cs="Times New Roman" w:hint="eastAsia"/>
      <w:color w:val="000000"/>
      <w:kern w:val="0"/>
      <w:sz w:val="24"/>
    </w:rPr>
  </w:style>
  <w:style w:type="paragraph" w:customStyle="1" w:styleId="p9">
    <w:name w:val="p9"/>
    <w:basedOn w:val="a"/>
    <w:autoRedefine/>
    <w:qFormat/>
    <w:pPr>
      <w:jc w:val="left"/>
    </w:pPr>
    <w:rPr>
      <w:rFonts w:ascii="Times" w:eastAsia="Times" w:hAnsi="Times" w:cs="Times New Roman"/>
      <w:color w:val="000000"/>
      <w:kern w:val="0"/>
      <w:sz w:val="24"/>
    </w:rPr>
  </w:style>
  <w:style w:type="paragraph" w:customStyle="1" w:styleId="p10">
    <w:name w:val="p10"/>
    <w:basedOn w:val="a"/>
    <w:autoRedefine/>
    <w:qFormat/>
    <w:pPr>
      <w:spacing w:line="420" w:lineRule="atLeast"/>
      <w:jc w:val="left"/>
    </w:pPr>
    <w:rPr>
      <w:rFonts w:ascii="Times" w:eastAsia="Times" w:hAnsi="Times" w:cs="Times New Roman"/>
      <w:color w:val="000000"/>
      <w:kern w:val="0"/>
      <w:sz w:val="24"/>
    </w:rPr>
  </w:style>
  <w:style w:type="paragraph" w:customStyle="1" w:styleId="p12">
    <w:name w:val="p12"/>
    <w:basedOn w:val="a"/>
    <w:autoRedefine/>
    <w:qFormat/>
    <w:pPr>
      <w:jc w:val="center"/>
    </w:pPr>
    <w:rPr>
      <w:rFonts w:ascii="songti sc" w:eastAsia="songti sc" w:hAnsi="songti sc" w:cs="Times New Roman" w:hint="eastAsia"/>
      <w:color w:val="000000"/>
      <w:kern w:val="0"/>
      <w:sz w:val="24"/>
    </w:rPr>
  </w:style>
  <w:style w:type="paragraph" w:customStyle="1" w:styleId="p13">
    <w:name w:val="p13"/>
    <w:basedOn w:val="a"/>
    <w:autoRedefine/>
    <w:qFormat/>
    <w:pPr>
      <w:jc w:val="center"/>
    </w:pPr>
    <w:rPr>
      <w:rFonts w:ascii="Times" w:eastAsia="Times" w:hAnsi="Times" w:cs="Times New Roman"/>
      <w:color w:val="000000"/>
      <w:kern w:val="0"/>
      <w:sz w:val="24"/>
    </w:rPr>
  </w:style>
  <w:style w:type="paragraph" w:customStyle="1" w:styleId="p14">
    <w:name w:val="p14"/>
    <w:basedOn w:val="a"/>
    <w:autoRedefine/>
    <w:qFormat/>
    <w:pPr>
      <w:jc w:val="center"/>
    </w:pPr>
    <w:rPr>
      <w:rFonts w:ascii="Trebuchet MS" w:hAnsi="Trebuchet MS" w:cs="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1AB9-5660-4E5F-BD3E-D7B628CA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Qssica</dc:creator>
  <cp:lastModifiedBy>栋兵 李</cp:lastModifiedBy>
  <cp:revision>5</cp:revision>
  <dcterms:created xsi:type="dcterms:W3CDTF">2023-11-09T13:23:00Z</dcterms:created>
  <dcterms:modified xsi:type="dcterms:W3CDTF">2026-04-26T03:26:00Z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AB23BB388A124FAC80FD87B2ECB1FA0A_13</vt:lpwstr>
  </property>
  <property fmtid="{D5CDD505-2E9C-101B-9397-08002B2CF9AE}" pid="4" name="KSOTemplateDocerSaveRecord">
    <vt:lpwstr>eyJoZGlkIjoiYTA3ZTU5ZmI1YWNiN2YxY2ZlZTExMTUyMTc3YWNhMmUifQ==</vt:lpwstr>
  </property>
</Properties>
</file>