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049D38">
      <w:pPr>
        <w:pStyle w:val="3"/>
        <w:autoSpaceDE/>
        <w:autoSpaceDN/>
        <w:rPr>
          <w:rFonts w:ascii="宋体" w:hAnsi="宋体" w:eastAsia="宋体" w:cs="宋体"/>
          <w:sz w:val="24"/>
          <w:szCs w:val="24"/>
        </w:rPr>
      </w:pPr>
      <w:r>
        <w:rPr>
          <w:rFonts w:hint="eastAsia" w:ascii="宋体" w:hAnsi="宋体" w:eastAsia="宋体" w:cs="宋体"/>
          <w:sz w:val="24"/>
          <w:szCs w:val="24"/>
        </w:rPr>
        <w:t>证券代码：6</w:t>
      </w:r>
      <w:r>
        <w:rPr>
          <w:rFonts w:ascii="宋体" w:hAnsi="宋体" w:eastAsia="宋体" w:cs="宋体"/>
          <w:sz w:val="24"/>
          <w:szCs w:val="24"/>
        </w:rPr>
        <w:t xml:space="preserve">00131                                   </w:t>
      </w:r>
      <w:r>
        <w:rPr>
          <w:rFonts w:hint="eastAsia" w:ascii="宋体" w:hAnsi="宋体" w:eastAsia="宋体" w:cs="宋体"/>
          <w:sz w:val="24"/>
          <w:szCs w:val="24"/>
        </w:rPr>
        <w:t>证券简称：国网信通</w:t>
      </w:r>
    </w:p>
    <w:p w14:paraId="3F102DA2">
      <w:pPr>
        <w:autoSpaceDE/>
        <w:autoSpaceDN/>
      </w:pPr>
    </w:p>
    <w:p w14:paraId="6AB373D8">
      <w:pPr>
        <w:autoSpaceDE/>
        <w:autoSpaceDN/>
      </w:pPr>
    </w:p>
    <w:p w14:paraId="01701710">
      <w:pPr>
        <w:autoSpaceDE/>
        <w:autoSpaceDN/>
        <w:spacing w:line="360" w:lineRule="auto"/>
        <w:jc w:val="center"/>
        <w:rPr>
          <w:rFonts w:ascii="宋体" w:hAnsi="宋体" w:eastAsia="宋体" w:cs="宋体"/>
          <w:sz w:val="32"/>
          <w:szCs w:val="32"/>
        </w:rPr>
      </w:pPr>
      <w:r>
        <w:rPr>
          <w:rFonts w:hint="eastAsia" w:ascii="宋体" w:hAnsi="宋体" w:eastAsia="宋体" w:cs="宋体"/>
          <w:b/>
          <w:bCs/>
          <w:sz w:val="32"/>
          <w:szCs w:val="32"/>
        </w:rPr>
        <w:t>国网信息通信股份有限公司投资者关系活动记录表</w:t>
      </w:r>
    </w:p>
    <w:tbl>
      <w:tblPr>
        <w:tblStyle w:val="10"/>
        <w:tblW w:w="892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68"/>
        <w:gridCol w:w="7261"/>
      </w:tblGrid>
      <w:tr w14:paraId="3EF357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89" w:hRule="atLeast"/>
          <w:jc w:val="center"/>
        </w:trPr>
        <w:tc>
          <w:tcPr>
            <w:tcW w:w="1668" w:type="dxa"/>
            <w:vAlign w:val="center"/>
          </w:tcPr>
          <w:p w14:paraId="44318260">
            <w:pPr>
              <w:pStyle w:val="13"/>
              <w:autoSpaceDE/>
              <w:autoSpaceDN/>
              <w:spacing w:before="1"/>
              <w:ind w:left="107"/>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投资者关系活动类别</w:t>
            </w:r>
          </w:p>
        </w:tc>
        <w:tc>
          <w:tcPr>
            <w:tcW w:w="7261" w:type="dxa"/>
            <w:vAlign w:val="center"/>
          </w:tcPr>
          <w:p w14:paraId="3A63743E">
            <w:pPr>
              <w:pStyle w:val="13"/>
              <w:tabs>
                <w:tab w:val="left" w:pos="2418"/>
              </w:tabs>
              <w:autoSpaceDE/>
              <w:autoSpaceDN/>
              <w:spacing w:before="1"/>
              <w:ind w:left="107"/>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sym w:font="Wingdings 2" w:char="0052"/>
            </w:r>
            <w:r>
              <w:rPr>
                <w:rFonts w:hint="eastAsia" w:cs="宋体" w:asciiTheme="minorEastAsia" w:hAnsiTheme="minorEastAsia" w:eastAsiaTheme="minorEastAsia"/>
                <w:sz w:val="21"/>
                <w:szCs w:val="21"/>
              </w:rPr>
              <w:t>特</w:t>
            </w:r>
            <w:r>
              <w:rPr>
                <w:rFonts w:hint="eastAsia" w:cs="宋体" w:asciiTheme="minorEastAsia" w:hAnsiTheme="minorEastAsia" w:eastAsiaTheme="minorEastAsia"/>
                <w:spacing w:val="-3"/>
                <w:sz w:val="21"/>
                <w:szCs w:val="21"/>
              </w:rPr>
              <w:t>定</w:t>
            </w:r>
            <w:r>
              <w:rPr>
                <w:rFonts w:hint="eastAsia" w:cs="宋体" w:asciiTheme="minorEastAsia" w:hAnsiTheme="minorEastAsia" w:eastAsiaTheme="minorEastAsia"/>
                <w:sz w:val="21"/>
                <w:szCs w:val="21"/>
              </w:rPr>
              <w:t>对</w:t>
            </w:r>
            <w:r>
              <w:rPr>
                <w:rFonts w:hint="eastAsia" w:cs="宋体" w:asciiTheme="minorEastAsia" w:hAnsiTheme="minorEastAsia" w:eastAsiaTheme="minorEastAsia"/>
                <w:spacing w:val="-3"/>
                <w:sz w:val="21"/>
                <w:szCs w:val="21"/>
              </w:rPr>
              <w:t>象</w:t>
            </w:r>
            <w:r>
              <w:rPr>
                <w:rFonts w:hint="eastAsia" w:cs="宋体" w:asciiTheme="minorEastAsia" w:hAnsiTheme="minorEastAsia" w:eastAsiaTheme="minorEastAsia"/>
                <w:sz w:val="21"/>
                <w:szCs w:val="21"/>
              </w:rPr>
              <w:t>调研</w:t>
            </w:r>
            <w:r>
              <w:rPr>
                <w:rFonts w:hint="eastAsia" w:cs="宋体" w:asciiTheme="minorEastAsia" w:hAnsiTheme="minorEastAsia" w:eastAsiaTheme="minorEastAsia"/>
                <w:sz w:val="21"/>
                <w:szCs w:val="21"/>
              </w:rPr>
              <w:tab/>
            </w:r>
            <w:r>
              <w:rPr>
                <w:rFonts w:hint="eastAsia" w:cs="宋体" w:asciiTheme="minorEastAsia" w:hAnsiTheme="minorEastAsia" w:eastAsiaTheme="minorEastAsia"/>
                <w:sz w:val="21"/>
                <w:szCs w:val="21"/>
              </w:rPr>
              <w:t>□分</w:t>
            </w:r>
            <w:r>
              <w:rPr>
                <w:rFonts w:hint="eastAsia" w:cs="宋体" w:asciiTheme="minorEastAsia" w:hAnsiTheme="minorEastAsia" w:eastAsiaTheme="minorEastAsia"/>
                <w:spacing w:val="-3"/>
                <w:sz w:val="21"/>
                <w:szCs w:val="21"/>
              </w:rPr>
              <w:t>析</w:t>
            </w:r>
            <w:r>
              <w:rPr>
                <w:rFonts w:hint="eastAsia" w:cs="宋体" w:asciiTheme="minorEastAsia" w:hAnsiTheme="minorEastAsia" w:eastAsiaTheme="minorEastAsia"/>
                <w:sz w:val="21"/>
                <w:szCs w:val="21"/>
              </w:rPr>
              <w:t>师</w:t>
            </w:r>
            <w:r>
              <w:rPr>
                <w:rFonts w:hint="eastAsia" w:cs="宋体" w:asciiTheme="minorEastAsia" w:hAnsiTheme="minorEastAsia" w:eastAsiaTheme="minorEastAsia"/>
                <w:spacing w:val="-3"/>
                <w:sz w:val="21"/>
                <w:szCs w:val="21"/>
              </w:rPr>
              <w:t>会</w:t>
            </w:r>
            <w:r>
              <w:rPr>
                <w:rFonts w:hint="eastAsia" w:cs="宋体" w:asciiTheme="minorEastAsia" w:hAnsiTheme="minorEastAsia" w:eastAsiaTheme="minorEastAsia"/>
                <w:sz w:val="21"/>
                <w:szCs w:val="21"/>
              </w:rPr>
              <w:t>议</w:t>
            </w:r>
          </w:p>
          <w:p w14:paraId="146F4BE3">
            <w:pPr>
              <w:pStyle w:val="13"/>
              <w:tabs>
                <w:tab w:val="left" w:pos="2418"/>
              </w:tabs>
              <w:autoSpaceDE/>
              <w:autoSpaceDN/>
              <w:ind w:left="107"/>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□媒</w:t>
            </w:r>
            <w:r>
              <w:rPr>
                <w:rFonts w:hint="eastAsia" w:cs="宋体" w:asciiTheme="minorEastAsia" w:hAnsiTheme="minorEastAsia" w:eastAsiaTheme="minorEastAsia"/>
                <w:spacing w:val="-3"/>
                <w:sz w:val="21"/>
                <w:szCs w:val="21"/>
              </w:rPr>
              <w:t>体</w:t>
            </w:r>
            <w:r>
              <w:rPr>
                <w:rFonts w:hint="eastAsia" w:cs="宋体" w:asciiTheme="minorEastAsia" w:hAnsiTheme="minorEastAsia" w:eastAsiaTheme="minorEastAsia"/>
                <w:sz w:val="21"/>
                <w:szCs w:val="21"/>
              </w:rPr>
              <w:t>采访</w:t>
            </w:r>
            <w:r>
              <w:rPr>
                <w:rFonts w:hint="eastAsia" w:cs="宋体" w:asciiTheme="minorEastAsia" w:hAnsiTheme="minorEastAsia" w:eastAsiaTheme="minorEastAsia"/>
                <w:sz w:val="21"/>
                <w:szCs w:val="21"/>
              </w:rPr>
              <w:tab/>
            </w:r>
            <w:r>
              <w:rPr>
                <w:rFonts w:hint="eastAsia" w:cs="宋体" w:asciiTheme="minorEastAsia" w:hAnsiTheme="minorEastAsia" w:eastAsiaTheme="minorEastAsia"/>
                <w:sz w:val="21"/>
                <w:szCs w:val="21"/>
              </w:rPr>
              <w:sym w:font="Wingdings 2" w:char="00A3"/>
            </w:r>
            <w:r>
              <w:rPr>
                <w:rFonts w:hint="eastAsia" w:cs="宋体" w:asciiTheme="minorEastAsia" w:hAnsiTheme="minorEastAsia" w:eastAsiaTheme="minorEastAsia"/>
                <w:sz w:val="21"/>
                <w:szCs w:val="21"/>
              </w:rPr>
              <w:t>业</w:t>
            </w:r>
            <w:r>
              <w:rPr>
                <w:rFonts w:hint="eastAsia" w:cs="宋体" w:asciiTheme="minorEastAsia" w:hAnsiTheme="minorEastAsia" w:eastAsiaTheme="minorEastAsia"/>
                <w:spacing w:val="-3"/>
                <w:sz w:val="21"/>
                <w:szCs w:val="21"/>
              </w:rPr>
              <w:t>绩</w:t>
            </w:r>
            <w:r>
              <w:rPr>
                <w:rFonts w:hint="eastAsia" w:cs="宋体" w:asciiTheme="minorEastAsia" w:hAnsiTheme="minorEastAsia" w:eastAsiaTheme="minorEastAsia"/>
                <w:sz w:val="21"/>
                <w:szCs w:val="21"/>
              </w:rPr>
              <w:t>说</w:t>
            </w:r>
            <w:r>
              <w:rPr>
                <w:rFonts w:hint="eastAsia" w:cs="宋体" w:asciiTheme="minorEastAsia" w:hAnsiTheme="minorEastAsia" w:eastAsiaTheme="minorEastAsia"/>
                <w:spacing w:val="-3"/>
                <w:sz w:val="21"/>
                <w:szCs w:val="21"/>
              </w:rPr>
              <w:t>明</w:t>
            </w:r>
            <w:r>
              <w:rPr>
                <w:rFonts w:hint="eastAsia" w:cs="宋体" w:asciiTheme="minorEastAsia" w:hAnsiTheme="minorEastAsia" w:eastAsiaTheme="minorEastAsia"/>
                <w:sz w:val="21"/>
                <w:szCs w:val="21"/>
              </w:rPr>
              <w:t>会</w:t>
            </w:r>
          </w:p>
          <w:p w14:paraId="0CBF0362">
            <w:pPr>
              <w:pStyle w:val="13"/>
              <w:tabs>
                <w:tab w:val="left" w:pos="2418"/>
              </w:tabs>
              <w:autoSpaceDE/>
              <w:autoSpaceDN/>
              <w:ind w:left="107"/>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□新</w:t>
            </w:r>
            <w:r>
              <w:rPr>
                <w:rFonts w:hint="eastAsia" w:cs="宋体" w:asciiTheme="minorEastAsia" w:hAnsiTheme="minorEastAsia" w:eastAsiaTheme="minorEastAsia"/>
                <w:spacing w:val="-3"/>
                <w:sz w:val="21"/>
                <w:szCs w:val="21"/>
              </w:rPr>
              <w:t>闻</w:t>
            </w:r>
            <w:r>
              <w:rPr>
                <w:rFonts w:hint="eastAsia" w:cs="宋体" w:asciiTheme="minorEastAsia" w:hAnsiTheme="minorEastAsia" w:eastAsiaTheme="minorEastAsia"/>
                <w:sz w:val="21"/>
                <w:szCs w:val="21"/>
              </w:rPr>
              <w:t>发</w:t>
            </w:r>
            <w:r>
              <w:rPr>
                <w:rFonts w:hint="eastAsia" w:cs="宋体" w:asciiTheme="minorEastAsia" w:hAnsiTheme="minorEastAsia" w:eastAsiaTheme="minorEastAsia"/>
                <w:spacing w:val="-3"/>
                <w:sz w:val="21"/>
                <w:szCs w:val="21"/>
              </w:rPr>
              <w:t>布</w:t>
            </w:r>
            <w:r>
              <w:rPr>
                <w:rFonts w:hint="eastAsia" w:cs="宋体" w:asciiTheme="minorEastAsia" w:hAnsiTheme="minorEastAsia" w:eastAsiaTheme="minorEastAsia"/>
                <w:sz w:val="21"/>
                <w:szCs w:val="21"/>
              </w:rPr>
              <w:t>会</w:t>
            </w:r>
            <w:r>
              <w:rPr>
                <w:rFonts w:hint="eastAsia" w:cs="宋体" w:asciiTheme="minorEastAsia" w:hAnsiTheme="minorEastAsia" w:eastAsiaTheme="minorEastAsia"/>
                <w:sz w:val="21"/>
                <w:szCs w:val="21"/>
              </w:rPr>
              <w:tab/>
            </w:r>
            <w:r>
              <w:rPr>
                <w:rFonts w:hint="eastAsia" w:cs="宋体" w:asciiTheme="minorEastAsia" w:hAnsiTheme="minorEastAsia" w:eastAsiaTheme="minorEastAsia"/>
                <w:sz w:val="21"/>
                <w:szCs w:val="21"/>
              </w:rPr>
              <w:t>□路</w:t>
            </w:r>
            <w:r>
              <w:rPr>
                <w:rFonts w:hint="eastAsia" w:cs="宋体" w:asciiTheme="minorEastAsia" w:hAnsiTheme="minorEastAsia" w:eastAsiaTheme="minorEastAsia"/>
                <w:spacing w:val="-3"/>
                <w:sz w:val="21"/>
                <w:szCs w:val="21"/>
              </w:rPr>
              <w:t>演</w:t>
            </w:r>
            <w:r>
              <w:rPr>
                <w:rFonts w:hint="eastAsia" w:cs="宋体" w:asciiTheme="minorEastAsia" w:hAnsiTheme="minorEastAsia" w:eastAsiaTheme="minorEastAsia"/>
                <w:sz w:val="21"/>
                <w:szCs w:val="21"/>
              </w:rPr>
              <w:t>活动</w:t>
            </w:r>
          </w:p>
          <w:p w14:paraId="16F177C2">
            <w:pPr>
              <w:pStyle w:val="13"/>
              <w:autoSpaceDE/>
              <w:autoSpaceDN/>
              <w:ind w:left="107"/>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□现场参观</w:t>
            </w:r>
          </w:p>
          <w:p w14:paraId="488C06F2">
            <w:pPr>
              <w:pStyle w:val="13"/>
              <w:autoSpaceDE/>
              <w:autoSpaceDN/>
              <w:ind w:left="107"/>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□其他</w:t>
            </w:r>
          </w:p>
        </w:tc>
      </w:tr>
      <w:tr w14:paraId="39C68F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9" w:hRule="atLeast"/>
          <w:jc w:val="center"/>
        </w:trPr>
        <w:tc>
          <w:tcPr>
            <w:tcW w:w="1668" w:type="dxa"/>
            <w:vAlign w:val="center"/>
          </w:tcPr>
          <w:p w14:paraId="188287B5">
            <w:pPr>
              <w:pStyle w:val="13"/>
              <w:autoSpaceDE/>
              <w:autoSpaceDN/>
              <w:spacing w:before="1"/>
              <w:ind w:left="107"/>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参与单位名称及人员姓名</w:t>
            </w:r>
          </w:p>
        </w:tc>
        <w:tc>
          <w:tcPr>
            <w:tcW w:w="7261" w:type="dxa"/>
            <w:vAlign w:val="center"/>
          </w:tcPr>
          <w:p w14:paraId="629CF096">
            <w:pPr>
              <w:pStyle w:val="13"/>
              <w:autoSpaceDE/>
              <w:autoSpaceDN/>
              <w:rPr>
                <w:rFonts w:hint="eastAsia"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建信保险资管 杨晨，英大证券 耿邦昊，国信证券 延姣阳，博远基金 谭飞，东兴基金 周昊，朱雀基金 杨欣达，诺安基金 陈衍鹏，信泰人寿 李昊泽，富兰克林邓普顿投资管理(上海)有限公司 饶呈方，华能贵诚信托 郭宝运，长城基金 林皓，国联基金 焦阳，名禹资产 王友红，华夏久盈 彭双宇，东证资管 蒋蛟龙，中信建投基金 周户，上海电气集团 赵梓峰，深圳亘泰投资管理有限公司 吕科，东方证券 王树娟，中邮创业 梁筱雨，平安基金 季清斌，光大证券 刘勇，中金资管 胡迪，创金合信 张小郭，鹏扬基金 刘冬、曹敏、董威，华安基金 刘潇，中银基金 张令泓，阳光资管 李曦辰，财信证券 顾少华，中金公司 闫汐语、曲昊源，兴业证券 罗池婧，长江证券 司鸿历、袁澎</w:t>
            </w:r>
          </w:p>
        </w:tc>
      </w:tr>
      <w:tr w14:paraId="049D97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2" w:hRule="atLeast"/>
          <w:jc w:val="center"/>
        </w:trPr>
        <w:tc>
          <w:tcPr>
            <w:tcW w:w="1668" w:type="dxa"/>
            <w:vAlign w:val="center"/>
          </w:tcPr>
          <w:p w14:paraId="1178EF6A">
            <w:pPr>
              <w:pStyle w:val="13"/>
              <w:autoSpaceDE/>
              <w:autoSpaceDN/>
              <w:spacing w:before="1"/>
              <w:ind w:left="107"/>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时间</w:t>
            </w:r>
          </w:p>
        </w:tc>
        <w:tc>
          <w:tcPr>
            <w:tcW w:w="7261" w:type="dxa"/>
            <w:vAlign w:val="center"/>
          </w:tcPr>
          <w:p w14:paraId="67856C6E">
            <w:pPr>
              <w:pStyle w:val="13"/>
              <w:autoSpaceDE/>
              <w:autoSpaceDN/>
              <w:rPr>
                <w:rFonts w:cs="宋体" w:asciiTheme="minorEastAsia" w:hAnsiTheme="minorEastAsia" w:eastAsiaTheme="minorEastAsia"/>
                <w:sz w:val="21"/>
                <w:szCs w:val="21"/>
              </w:rPr>
            </w:pPr>
            <w:r>
              <w:rPr>
                <w:rFonts w:cs="宋体" w:asciiTheme="minorEastAsia" w:hAnsiTheme="minorEastAsia" w:eastAsiaTheme="minorEastAsia"/>
                <w:sz w:val="21"/>
                <w:szCs w:val="21"/>
              </w:rPr>
              <w:t>202</w:t>
            </w:r>
            <w:r>
              <w:rPr>
                <w:rFonts w:hint="eastAsia" w:cs="宋体" w:asciiTheme="minorEastAsia" w:hAnsiTheme="minorEastAsia" w:eastAsiaTheme="minorEastAsia"/>
                <w:sz w:val="21"/>
                <w:szCs w:val="21"/>
                <w:lang w:val="en-US" w:eastAsia="zh-CN"/>
              </w:rPr>
              <w:t>6</w:t>
            </w:r>
            <w:r>
              <w:rPr>
                <w:rFonts w:cs="宋体" w:asciiTheme="minorEastAsia" w:hAnsiTheme="minorEastAsia" w:eastAsiaTheme="minorEastAsia"/>
                <w:sz w:val="21"/>
                <w:szCs w:val="21"/>
              </w:rPr>
              <w:t>年</w:t>
            </w:r>
            <w:r>
              <w:rPr>
                <w:rFonts w:hint="eastAsia" w:cs="宋体" w:asciiTheme="minorEastAsia" w:hAnsiTheme="minorEastAsia" w:eastAsiaTheme="minorEastAsia"/>
                <w:sz w:val="21"/>
                <w:szCs w:val="21"/>
                <w:lang w:val="en-US" w:eastAsia="zh-CN"/>
              </w:rPr>
              <w:t>4</w:t>
            </w:r>
            <w:r>
              <w:rPr>
                <w:rFonts w:cs="宋体" w:asciiTheme="minorEastAsia" w:hAnsiTheme="minorEastAsia" w:eastAsiaTheme="minorEastAsia"/>
                <w:sz w:val="21"/>
                <w:szCs w:val="21"/>
              </w:rPr>
              <w:t>月</w:t>
            </w:r>
            <w:r>
              <w:rPr>
                <w:rFonts w:hint="eastAsia" w:cs="宋体" w:asciiTheme="minorEastAsia" w:hAnsiTheme="minorEastAsia" w:eastAsiaTheme="minorEastAsia"/>
                <w:sz w:val="21"/>
                <w:szCs w:val="21"/>
                <w:lang w:val="en-US" w:eastAsia="zh-CN"/>
              </w:rPr>
              <w:t>27</w:t>
            </w:r>
            <w:r>
              <w:rPr>
                <w:rFonts w:cs="宋体" w:asciiTheme="minorEastAsia" w:hAnsiTheme="minorEastAsia" w:eastAsiaTheme="minorEastAsia"/>
                <w:sz w:val="21"/>
                <w:szCs w:val="21"/>
              </w:rPr>
              <w:t>日（星期</w:t>
            </w:r>
            <w:r>
              <w:rPr>
                <w:rFonts w:hint="eastAsia" w:cs="宋体" w:asciiTheme="minorEastAsia" w:hAnsiTheme="minorEastAsia" w:eastAsiaTheme="minorEastAsia"/>
                <w:sz w:val="21"/>
                <w:szCs w:val="21"/>
                <w:lang w:val="en-US" w:eastAsia="zh-CN"/>
              </w:rPr>
              <w:t>一</w:t>
            </w:r>
            <w:r>
              <w:rPr>
                <w:rFonts w:cs="宋体" w:asciiTheme="minorEastAsia" w:hAnsiTheme="minorEastAsia" w:eastAsiaTheme="minorEastAsia"/>
                <w:sz w:val="21"/>
                <w:szCs w:val="21"/>
              </w:rPr>
              <w:t>）</w:t>
            </w:r>
            <w:r>
              <w:rPr>
                <w:rFonts w:hint="eastAsia" w:cs="宋体" w:asciiTheme="minorEastAsia" w:hAnsiTheme="minorEastAsia" w:eastAsiaTheme="minorEastAsia"/>
                <w:sz w:val="21"/>
                <w:szCs w:val="21"/>
                <w:lang w:val="en-US" w:eastAsia="zh-CN"/>
              </w:rPr>
              <w:t>8</w:t>
            </w:r>
            <w:r>
              <w:rPr>
                <w:rFonts w:cs="宋体" w:asciiTheme="minorEastAsia" w:hAnsiTheme="minorEastAsia" w:eastAsiaTheme="minorEastAsia"/>
                <w:sz w:val="21"/>
                <w:szCs w:val="21"/>
              </w:rPr>
              <w:t>:00-</w:t>
            </w:r>
            <w:r>
              <w:rPr>
                <w:rFonts w:hint="eastAsia" w:cs="宋体" w:asciiTheme="minorEastAsia" w:hAnsiTheme="minorEastAsia" w:eastAsiaTheme="minorEastAsia"/>
                <w:sz w:val="21"/>
                <w:szCs w:val="21"/>
                <w:lang w:val="en-US" w:eastAsia="zh-CN"/>
              </w:rPr>
              <w:t>9</w:t>
            </w:r>
            <w:r>
              <w:rPr>
                <w:rFonts w:cs="宋体" w:asciiTheme="minorEastAsia" w:hAnsiTheme="minorEastAsia" w:eastAsiaTheme="minorEastAsia"/>
                <w:sz w:val="21"/>
                <w:szCs w:val="21"/>
              </w:rPr>
              <w:t>:</w:t>
            </w:r>
            <w:r>
              <w:rPr>
                <w:rFonts w:hint="eastAsia" w:cs="宋体" w:asciiTheme="minorEastAsia" w:hAnsiTheme="minorEastAsia" w:eastAsiaTheme="minorEastAsia"/>
                <w:sz w:val="21"/>
                <w:szCs w:val="21"/>
              </w:rPr>
              <w:t>0</w:t>
            </w:r>
            <w:r>
              <w:rPr>
                <w:rFonts w:cs="宋体" w:asciiTheme="minorEastAsia" w:hAnsiTheme="minorEastAsia" w:eastAsiaTheme="minorEastAsia"/>
                <w:sz w:val="21"/>
                <w:szCs w:val="21"/>
              </w:rPr>
              <w:t>0</w:t>
            </w:r>
          </w:p>
        </w:tc>
      </w:tr>
      <w:tr w14:paraId="3FE31B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7" w:hRule="atLeast"/>
          <w:jc w:val="center"/>
        </w:trPr>
        <w:tc>
          <w:tcPr>
            <w:tcW w:w="1668" w:type="dxa"/>
            <w:vAlign w:val="center"/>
          </w:tcPr>
          <w:p w14:paraId="2CC10DB5">
            <w:pPr>
              <w:pStyle w:val="13"/>
              <w:autoSpaceDE/>
              <w:autoSpaceDN/>
              <w:ind w:left="107"/>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地点</w:t>
            </w:r>
          </w:p>
        </w:tc>
        <w:tc>
          <w:tcPr>
            <w:tcW w:w="7261" w:type="dxa"/>
            <w:vAlign w:val="center"/>
          </w:tcPr>
          <w:p w14:paraId="053791DA">
            <w:pPr>
              <w:pStyle w:val="13"/>
              <w:autoSpaceDE/>
              <w:autoSpaceDN/>
              <w:rPr>
                <w:rFonts w:cs="宋体" w:asciiTheme="minorEastAsia" w:hAnsiTheme="minorEastAsia" w:eastAsiaTheme="minorEastAsia"/>
                <w:sz w:val="21"/>
                <w:szCs w:val="21"/>
                <w:lang w:val="en-US"/>
              </w:rPr>
            </w:pPr>
            <w:r>
              <w:rPr>
                <w:rFonts w:hint="eastAsia" w:cs="宋体" w:asciiTheme="minorEastAsia" w:hAnsiTheme="minorEastAsia" w:eastAsiaTheme="minorEastAsia"/>
                <w:sz w:val="21"/>
                <w:szCs w:val="21"/>
                <w:lang w:val="en-US"/>
              </w:rPr>
              <w:t>线上电话会议</w:t>
            </w:r>
          </w:p>
        </w:tc>
      </w:tr>
      <w:tr w14:paraId="7DD3B5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2" w:hRule="atLeast"/>
          <w:jc w:val="center"/>
        </w:trPr>
        <w:tc>
          <w:tcPr>
            <w:tcW w:w="1668" w:type="dxa"/>
            <w:vAlign w:val="center"/>
          </w:tcPr>
          <w:p w14:paraId="069F3C00">
            <w:pPr>
              <w:pStyle w:val="13"/>
              <w:autoSpaceDE/>
              <w:autoSpaceDN/>
              <w:spacing w:before="1"/>
              <w:ind w:left="107"/>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上市公司接待人员姓名</w:t>
            </w:r>
          </w:p>
        </w:tc>
        <w:tc>
          <w:tcPr>
            <w:tcW w:w="7261" w:type="dxa"/>
            <w:vAlign w:val="center"/>
          </w:tcPr>
          <w:p w14:paraId="08DC1497">
            <w:pPr>
              <w:pStyle w:val="13"/>
              <w:autoSpaceDE/>
              <w:autoSpaceDN/>
              <w:rPr>
                <w:rFonts w:hint="eastAsia" w:cs="宋体" w:asciiTheme="minorEastAsia" w:hAnsiTheme="minorEastAsia" w:eastAsiaTheme="minorEastAsia"/>
                <w:sz w:val="21"/>
                <w:szCs w:val="21"/>
                <w:lang w:val="en-US"/>
              </w:rPr>
            </w:pPr>
            <w:r>
              <w:rPr>
                <w:rFonts w:hint="eastAsia" w:cs="宋体" w:asciiTheme="minorEastAsia" w:hAnsiTheme="minorEastAsia" w:eastAsiaTheme="minorEastAsia"/>
                <w:sz w:val="21"/>
                <w:szCs w:val="21"/>
                <w:lang w:val="en-US"/>
              </w:rPr>
              <w:t>董事会秘书  王  迅</w:t>
            </w:r>
          </w:p>
          <w:p w14:paraId="5A18A08A">
            <w:pPr>
              <w:pStyle w:val="13"/>
              <w:autoSpaceDE/>
              <w:autoSpaceDN/>
              <w:rPr>
                <w:rFonts w:cs="宋体" w:asciiTheme="minorEastAsia" w:hAnsiTheme="minorEastAsia" w:eastAsiaTheme="minorEastAsia"/>
                <w:sz w:val="21"/>
                <w:szCs w:val="21"/>
                <w:lang w:val="en-US"/>
              </w:rPr>
            </w:pPr>
            <w:r>
              <w:rPr>
                <w:rFonts w:hint="eastAsia" w:cs="宋体" w:asciiTheme="minorEastAsia" w:hAnsiTheme="minorEastAsia" w:eastAsiaTheme="minorEastAsia"/>
                <w:sz w:val="21"/>
                <w:szCs w:val="21"/>
                <w:lang w:val="en-US"/>
              </w:rPr>
              <w:t>财务总监    向  杰</w:t>
            </w:r>
          </w:p>
        </w:tc>
      </w:tr>
      <w:tr w14:paraId="3C5871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3" w:hRule="atLeast"/>
          <w:jc w:val="center"/>
        </w:trPr>
        <w:tc>
          <w:tcPr>
            <w:tcW w:w="1668" w:type="dxa"/>
            <w:vAlign w:val="center"/>
          </w:tcPr>
          <w:p w14:paraId="3DEAF598">
            <w:pPr>
              <w:pStyle w:val="13"/>
              <w:autoSpaceDE/>
              <w:autoSpaceDN/>
              <w:spacing w:before="1"/>
              <w:ind w:left="107"/>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投资者关系活动主要内容介绍</w:t>
            </w:r>
          </w:p>
        </w:tc>
        <w:tc>
          <w:tcPr>
            <w:tcW w:w="7261" w:type="dxa"/>
            <w:vAlign w:val="center"/>
          </w:tcPr>
          <w:p w14:paraId="79DC8C7A">
            <w:pPr>
              <w:pStyle w:val="13"/>
              <w:autoSpaceDE/>
              <w:autoSpaceDN/>
              <w:jc w:val="both"/>
              <w:rPr>
                <w:rFonts w:cs="宋体" w:asciiTheme="minorEastAsia" w:hAnsiTheme="minorEastAsia" w:eastAsiaTheme="minorEastAsia"/>
                <w:b/>
                <w:bCs/>
                <w:sz w:val="21"/>
                <w:szCs w:val="21"/>
              </w:rPr>
            </w:pPr>
            <w:r>
              <w:rPr>
                <w:rFonts w:hint="eastAsia" w:cs="宋体" w:asciiTheme="minorEastAsia" w:hAnsiTheme="minorEastAsia" w:eastAsiaTheme="minorEastAsia"/>
                <w:b/>
                <w:bCs/>
                <w:sz w:val="21"/>
                <w:szCs w:val="21"/>
              </w:rPr>
              <w:t>互动问答记录</w:t>
            </w:r>
          </w:p>
          <w:p w14:paraId="729EECF7">
            <w:pPr>
              <w:pStyle w:val="13"/>
              <w:ind w:firstLine="420"/>
              <w:jc w:val="both"/>
              <w:rPr>
                <w:rFonts w:cs="宋体" w:asciiTheme="minorEastAsia" w:hAnsiTheme="minorEastAsia" w:eastAsiaTheme="minorEastAsia"/>
                <w:b/>
                <w:bCs/>
                <w:sz w:val="21"/>
                <w:szCs w:val="21"/>
                <w:lang w:val="en-US"/>
              </w:rPr>
            </w:pPr>
            <w:r>
              <w:rPr>
                <w:rFonts w:hint="eastAsia" w:cs="宋体" w:asciiTheme="minorEastAsia" w:hAnsiTheme="minorEastAsia" w:eastAsiaTheme="minorEastAsia"/>
                <w:b/>
                <w:bCs/>
                <w:sz w:val="21"/>
                <w:szCs w:val="21"/>
                <w:lang w:val="en-US"/>
              </w:rPr>
              <w:t>一、公司整体情况介绍</w:t>
            </w:r>
          </w:p>
          <w:p w14:paraId="5F767A7E">
            <w:pPr>
              <w:pStyle w:val="13"/>
              <w:ind w:firstLine="420"/>
              <w:jc w:val="both"/>
              <w:rPr>
                <w:rFonts w:cs="宋体" w:asciiTheme="minorEastAsia" w:hAnsiTheme="minorEastAsia" w:eastAsiaTheme="minorEastAsia"/>
                <w:sz w:val="21"/>
                <w:szCs w:val="21"/>
                <w:lang w:val="en-US"/>
              </w:rPr>
            </w:pPr>
            <w:r>
              <w:rPr>
                <w:rFonts w:hint="eastAsia" w:cs="宋体" w:asciiTheme="minorEastAsia" w:hAnsiTheme="minorEastAsia" w:eastAsiaTheme="minorEastAsia"/>
                <w:sz w:val="21"/>
                <w:szCs w:val="21"/>
                <w:lang w:val="en-US"/>
              </w:rPr>
              <w:t>公司</w:t>
            </w:r>
            <w:r>
              <w:rPr>
                <w:rFonts w:hint="eastAsia" w:cs="宋体" w:asciiTheme="minorEastAsia" w:hAnsiTheme="minorEastAsia" w:eastAsiaTheme="minorEastAsia"/>
                <w:sz w:val="21"/>
                <w:szCs w:val="21"/>
                <w:lang w:val="en-US" w:eastAsia="zh-CN"/>
              </w:rPr>
              <w:t>是</w:t>
            </w:r>
            <w:r>
              <w:rPr>
                <w:rFonts w:hint="eastAsia" w:cs="宋体" w:asciiTheme="minorEastAsia" w:hAnsiTheme="minorEastAsia" w:eastAsiaTheme="minorEastAsia"/>
                <w:sz w:val="21"/>
                <w:szCs w:val="21"/>
                <w:lang w:val="en-US"/>
              </w:rPr>
              <w:t>国家电网</w:t>
            </w:r>
            <w:r>
              <w:rPr>
                <w:rFonts w:hint="eastAsia" w:cs="宋体" w:asciiTheme="minorEastAsia" w:hAnsiTheme="minorEastAsia" w:eastAsiaTheme="minorEastAsia"/>
                <w:sz w:val="21"/>
                <w:szCs w:val="21"/>
                <w:lang w:val="en-US" w:eastAsia="zh-CN"/>
              </w:rPr>
              <w:t>公司所</w:t>
            </w:r>
            <w:r>
              <w:rPr>
                <w:rFonts w:hint="eastAsia" w:cs="宋体" w:asciiTheme="minorEastAsia" w:hAnsiTheme="minorEastAsia" w:eastAsiaTheme="minorEastAsia"/>
                <w:sz w:val="21"/>
                <w:szCs w:val="21"/>
                <w:lang w:val="en-US"/>
              </w:rPr>
              <w:t>属信产集团控股上市公司，旗下拥有中电普华、继远软件、中电飞华、亿力科技、中电启明星、亿力电力6家全资子公司和4家参控股公司，按照“能源数字化智能化”产业布局，围绕新型电力系统建设各环节，融合运用大云物移智等技术，深耕咨询设计、软件研发、工程实施、系统集成、运营运维等信息通信业务，推动数字技术与电网业务的深度融合，不断提高支撑新型电力系统建设的核心能力。</w:t>
            </w:r>
          </w:p>
          <w:p w14:paraId="205DC17B">
            <w:pPr>
              <w:pStyle w:val="13"/>
              <w:ind w:firstLine="420"/>
              <w:jc w:val="both"/>
              <w:rPr>
                <w:rFonts w:hint="eastAsia" w:cs="宋体" w:asciiTheme="minorEastAsia" w:hAnsiTheme="minorEastAsia" w:eastAsiaTheme="minorEastAsia"/>
                <w:sz w:val="21"/>
                <w:szCs w:val="21"/>
                <w:lang w:val="en-US"/>
              </w:rPr>
            </w:pPr>
            <w:r>
              <w:rPr>
                <w:rFonts w:hint="eastAsia" w:cs="宋体" w:asciiTheme="minorEastAsia" w:hAnsiTheme="minorEastAsia" w:eastAsiaTheme="minorEastAsia"/>
                <w:sz w:val="21"/>
                <w:szCs w:val="21"/>
                <w:lang w:val="en-US"/>
              </w:rPr>
              <w:t>公司坚持锚定“国内领先的能源数字化智能化创新企业”目标，坚持“产品化、专业化、生态化”发展，积极把握国家“双碳”战略和新型电力系统建设契机，全面构建新型电力系统数字化智能化技术</w:t>
            </w:r>
            <w:r>
              <w:rPr>
                <w:rFonts w:hint="eastAsia" w:cs="宋体" w:asciiTheme="minorEastAsia" w:hAnsiTheme="minorEastAsia" w:eastAsiaTheme="minorEastAsia"/>
                <w:sz w:val="21"/>
                <w:szCs w:val="21"/>
                <w:lang w:val="en-US" w:eastAsia="zh-CN"/>
              </w:rPr>
              <w:t>产品</w:t>
            </w:r>
            <w:r>
              <w:rPr>
                <w:rFonts w:hint="eastAsia" w:cs="宋体" w:asciiTheme="minorEastAsia" w:hAnsiTheme="minorEastAsia" w:eastAsiaTheme="minorEastAsia"/>
                <w:sz w:val="21"/>
                <w:szCs w:val="21"/>
                <w:lang w:val="en-US"/>
              </w:rPr>
              <w:t>和服务体系。2025年，公司完成亿力科技股权收购，持续优化业务布局，在原有数字化基础设施、前沿技术创新（人工智能）、电力数字化应用、企业数字化应用、能源创新服务等基础上，新增大数据业务板块，实现能源（电力）生产、传输、消费全链条及企业经营管理各环节全覆盖，深度契合能源（电力）行业高质量发展与数字化转型趋势。</w:t>
            </w:r>
          </w:p>
          <w:p w14:paraId="3D9F1CF9">
            <w:pPr>
              <w:pStyle w:val="13"/>
              <w:ind w:firstLine="420"/>
              <w:jc w:val="both"/>
              <w:rPr>
                <w:rFonts w:hint="eastAsia" w:cs="宋体" w:asciiTheme="minorEastAsia" w:hAnsiTheme="minorEastAsia" w:eastAsiaTheme="minorEastAsia"/>
                <w:sz w:val="21"/>
                <w:szCs w:val="21"/>
                <w:lang w:val="en-US"/>
              </w:rPr>
            </w:pPr>
          </w:p>
          <w:p w14:paraId="42568CAE">
            <w:pPr>
              <w:pStyle w:val="13"/>
              <w:ind w:firstLine="420"/>
              <w:jc w:val="both"/>
              <w:rPr>
                <w:rFonts w:cs="宋体" w:asciiTheme="minorEastAsia" w:hAnsiTheme="minorEastAsia" w:eastAsiaTheme="minorEastAsia"/>
                <w:b/>
                <w:bCs/>
                <w:sz w:val="21"/>
                <w:szCs w:val="21"/>
                <w:lang w:val="en-US"/>
              </w:rPr>
            </w:pPr>
            <w:r>
              <w:rPr>
                <w:rFonts w:hint="eastAsia" w:cs="宋体" w:asciiTheme="minorEastAsia" w:hAnsiTheme="minorEastAsia" w:eastAsiaTheme="minorEastAsia"/>
                <w:b/>
                <w:bCs/>
                <w:sz w:val="21"/>
                <w:szCs w:val="21"/>
                <w:lang w:val="en-US"/>
              </w:rPr>
              <w:t>二、公司经营业绩情况</w:t>
            </w:r>
          </w:p>
          <w:p w14:paraId="6C8F2B14">
            <w:pPr>
              <w:pStyle w:val="13"/>
              <w:ind w:firstLine="420"/>
              <w:jc w:val="both"/>
              <w:rPr>
                <w:rFonts w:hint="default"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rPr>
              <w:t>202</w:t>
            </w:r>
            <w:r>
              <w:rPr>
                <w:rFonts w:hint="eastAsia" w:cs="宋体" w:asciiTheme="minorEastAsia" w:hAnsiTheme="minorEastAsia" w:eastAsiaTheme="minorEastAsia"/>
                <w:sz w:val="21"/>
                <w:szCs w:val="21"/>
                <w:lang w:val="en-US" w:eastAsia="zh-CN"/>
              </w:rPr>
              <w:t>5</w:t>
            </w:r>
            <w:r>
              <w:rPr>
                <w:rFonts w:hint="eastAsia" w:cs="宋体" w:asciiTheme="minorEastAsia" w:hAnsiTheme="minorEastAsia" w:eastAsiaTheme="minorEastAsia"/>
                <w:sz w:val="21"/>
                <w:szCs w:val="21"/>
                <w:lang w:val="en-US"/>
              </w:rPr>
              <w:t>年，公司实现营业收入106.28亿元，归属于上市公司股东的扣非净利润5.99亿元，期末公司资产总额为141.75亿元，归属上市公司股东所有者权益64.78亿元，展现出较好的盈利能力。数字化基础设施业务全年营收53.78亿元，同比增长12.01%</w:t>
            </w:r>
            <w:r>
              <w:rPr>
                <w:rFonts w:hint="eastAsia" w:cs="宋体" w:asciiTheme="minorEastAsia" w:hAnsiTheme="minorEastAsia" w:eastAsiaTheme="minorEastAsia"/>
                <w:sz w:val="21"/>
                <w:szCs w:val="21"/>
                <w:lang w:val="en-US" w:eastAsia="zh-CN"/>
              </w:rPr>
              <w:t>；大数据业务全年营收3.31亿元，同比下降9.64%；前沿技术创新业务全年营收6.63亿元，同比增长38.21%；电力数字化应用业务全年营收25.01亿元，同比下降17.89%；企业数字化应用业务全年营收14.45亿元，同比增长2.76%；能源创新服务业务全年营收2.98亿元，同比下降4.47%。总体来看，公司2025年新签合同额增长，但由于项目履约进度存在滞后性，合同额增长未全部转化为收入，在手订单规模增大；利润下降主要是计提坏账减值准备1.11亿元，同时系统实施、运营等业务占比较多，毛利率有所下滑。</w:t>
            </w:r>
          </w:p>
          <w:p w14:paraId="0AC6EFA9">
            <w:pPr>
              <w:pStyle w:val="13"/>
              <w:ind w:firstLine="420"/>
              <w:jc w:val="both"/>
              <w:rPr>
                <w:rFonts w:hint="eastAsia"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rPr>
              <w:t>2026年一季度，公司实现营业收入13.44亿元，归属于上市公司股东的扣非净利润352.44万元，期末公司资产总额为132.11亿元，归属上市公司股东所有者权益64.82亿元。</w:t>
            </w:r>
            <w:r>
              <w:rPr>
                <w:rFonts w:hint="eastAsia" w:cs="宋体" w:asciiTheme="minorEastAsia" w:hAnsiTheme="minorEastAsia" w:eastAsiaTheme="minorEastAsia"/>
                <w:sz w:val="21"/>
                <w:szCs w:val="21"/>
                <w:lang w:val="en-US" w:eastAsia="zh-CN"/>
              </w:rPr>
              <w:t>主要是项目整体履约进度较上年略有延后，对收入转化略有影响；同时，一季度指标占全年的比重较小，公司受参股企业福堂水电线路改造、发电量下降等原因投资收益减少，导致利润同比下降。</w:t>
            </w:r>
          </w:p>
          <w:p w14:paraId="420C24B2">
            <w:pPr>
              <w:pStyle w:val="13"/>
              <w:ind w:firstLine="420"/>
              <w:jc w:val="both"/>
              <w:rPr>
                <w:rFonts w:hint="default" w:cs="宋体" w:asciiTheme="minorEastAsia" w:hAnsiTheme="minorEastAsia" w:eastAsiaTheme="minorEastAsia"/>
                <w:sz w:val="21"/>
                <w:szCs w:val="21"/>
                <w:lang w:val="en-US" w:eastAsia="zh-CN"/>
              </w:rPr>
            </w:pPr>
          </w:p>
          <w:p w14:paraId="4B25A797">
            <w:pPr>
              <w:pStyle w:val="13"/>
              <w:ind w:firstLine="420"/>
              <w:jc w:val="both"/>
              <w:rPr>
                <w:rFonts w:cs="宋体" w:asciiTheme="minorEastAsia" w:hAnsiTheme="minorEastAsia" w:eastAsiaTheme="minorEastAsia"/>
                <w:b/>
                <w:bCs/>
                <w:sz w:val="21"/>
                <w:szCs w:val="21"/>
                <w:lang w:val="en-US"/>
              </w:rPr>
            </w:pPr>
            <w:r>
              <w:rPr>
                <w:rFonts w:hint="eastAsia" w:cs="宋体" w:asciiTheme="minorEastAsia" w:hAnsiTheme="minorEastAsia" w:eastAsiaTheme="minorEastAsia"/>
                <w:b/>
                <w:bCs/>
                <w:sz w:val="21"/>
                <w:szCs w:val="21"/>
                <w:lang w:val="en-US"/>
              </w:rPr>
              <w:t>三、线上提问交流</w:t>
            </w:r>
          </w:p>
          <w:p w14:paraId="76A70042">
            <w:pPr>
              <w:pStyle w:val="13"/>
              <w:ind w:firstLine="420"/>
              <w:jc w:val="both"/>
              <w:rPr>
                <w:rFonts w:hint="eastAsia" w:cs="宋体" w:asciiTheme="minorEastAsia" w:hAnsiTheme="minorEastAsia" w:eastAsiaTheme="minorEastAsia"/>
                <w:sz w:val="21"/>
                <w:szCs w:val="21"/>
                <w:lang w:val="en-US" w:eastAsia="zh-CN"/>
              </w:rPr>
            </w:pPr>
            <w:r>
              <w:rPr>
                <w:rFonts w:hint="eastAsia" w:cs="宋体" w:asciiTheme="minorEastAsia" w:hAnsiTheme="minorEastAsia" w:eastAsiaTheme="minorEastAsia"/>
                <w:b/>
                <w:bCs/>
                <w:sz w:val="21"/>
                <w:szCs w:val="21"/>
                <w:lang w:val="en-US"/>
              </w:rPr>
              <w:t>Q1：</w:t>
            </w:r>
            <w:r>
              <w:rPr>
                <w:rFonts w:hint="eastAsia" w:cs="宋体" w:asciiTheme="minorEastAsia" w:hAnsiTheme="minorEastAsia" w:eastAsiaTheme="minorEastAsia"/>
                <w:sz w:val="21"/>
                <w:szCs w:val="21"/>
                <w:lang w:val="en-US"/>
              </w:rPr>
              <w:t>2025年年报显示公</w:t>
            </w:r>
            <w:bookmarkStart w:id="0" w:name="_GoBack"/>
            <w:bookmarkEnd w:id="0"/>
            <w:r>
              <w:rPr>
                <w:rFonts w:hint="eastAsia" w:cs="宋体" w:asciiTheme="minorEastAsia" w:hAnsiTheme="minorEastAsia" w:eastAsiaTheme="minorEastAsia"/>
                <w:sz w:val="21"/>
                <w:szCs w:val="21"/>
                <w:lang w:val="en-US"/>
              </w:rPr>
              <w:t>司营收106.28亿元、同比+1.99%，归母净利润6.57亿元、同比-19.47%，扣非净利润5.99亿元、同比-13.73%</w:t>
            </w:r>
            <w:r>
              <w:rPr>
                <w:rFonts w:hint="eastAsia" w:cs="宋体" w:asciiTheme="minorEastAsia" w:hAnsiTheme="minorEastAsia" w:eastAsiaTheme="minorEastAsia"/>
                <w:sz w:val="21"/>
                <w:szCs w:val="21"/>
                <w:lang w:val="en-US" w:eastAsia="zh-CN"/>
              </w:rPr>
              <w:t>，</w:t>
            </w:r>
            <w:r>
              <w:rPr>
                <w:rFonts w:hint="eastAsia" w:cs="宋体" w:asciiTheme="minorEastAsia" w:hAnsiTheme="minorEastAsia" w:eastAsiaTheme="minorEastAsia"/>
                <w:sz w:val="21"/>
                <w:szCs w:val="21"/>
                <w:lang w:val="en-US"/>
              </w:rPr>
              <w:t>公司如何拆解利润下滑的主要因素</w:t>
            </w:r>
            <w:r>
              <w:rPr>
                <w:rFonts w:hint="eastAsia" w:cs="宋体" w:asciiTheme="minorEastAsia" w:hAnsiTheme="minorEastAsia" w:eastAsiaTheme="minorEastAsia"/>
                <w:sz w:val="21"/>
                <w:szCs w:val="21"/>
                <w:lang w:val="en-US" w:eastAsia="zh-CN"/>
              </w:rPr>
              <w:t>？</w:t>
            </w:r>
          </w:p>
          <w:p w14:paraId="6CB2BE2C">
            <w:pPr>
              <w:pStyle w:val="13"/>
              <w:ind w:firstLine="420"/>
              <w:jc w:val="both"/>
              <w:rPr>
                <w:rFonts w:cs="宋体" w:asciiTheme="minorEastAsia" w:hAnsiTheme="minorEastAsia" w:eastAsiaTheme="minorEastAsia"/>
                <w:sz w:val="21"/>
                <w:szCs w:val="21"/>
                <w:lang w:val="en-US"/>
              </w:rPr>
            </w:pPr>
            <w:r>
              <w:rPr>
                <w:rFonts w:hint="eastAsia" w:cs="宋体" w:asciiTheme="minorEastAsia" w:hAnsiTheme="minorEastAsia" w:eastAsiaTheme="minorEastAsia"/>
                <w:b/>
                <w:bCs/>
                <w:sz w:val="21"/>
                <w:szCs w:val="21"/>
                <w:lang w:val="en-US"/>
              </w:rPr>
              <w:t>A1：</w:t>
            </w:r>
            <w:r>
              <w:rPr>
                <w:rFonts w:hint="eastAsia" w:cs="宋体" w:asciiTheme="minorEastAsia" w:hAnsiTheme="minorEastAsia" w:eastAsiaTheme="minorEastAsia"/>
                <w:sz w:val="21"/>
                <w:szCs w:val="21"/>
                <w:lang w:val="en-US"/>
              </w:rPr>
              <w:t>202</w:t>
            </w:r>
            <w:r>
              <w:rPr>
                <w:rFonts w:hint="eastAsia" w:cs="宋体" w:asciiTheme="minorEastAsia" w:hAnsiTheme="minorEastAsia" w:eastAsiaTheme="minorEastAsia"/>
                <w:sz w:val="21"/>
                <w:szCs w:val="21"/>
                <w:lang w:val="en-US" w:eastAsia="zh-CN"/>
              </w:rPr>
              <w:t>5</w:t>
            </w:r>
            <w:r>
              <w:rPr>
                <w:rFonts w:hint="eastAsia" w:cs="宋体" w:asciiTheme="minorEastAsia" w:hAnsiTheme="minorEastAsia" w:eastAsiaTheme="minorEastAsia"/>
                <w:sz w:val="21"/>
                <w:szCs w:val="21"/>
                <w:lang w:val="en-US"/>
              </w:rPr>
              <w:t>年</w:t>
            </w:r>
            <w:r>
              <w:rPr>
                <w:rFonts w:hint="eastAsia" w:cs="宋体" w:asciiTheme="minorEastAsia" w:hAnsiTheme="minorEastAsia" w:eastAsiaTheme="minorEastAsia"/>
                <w:sz w:val="21"/>
                <w:szCs w:val="21"/>
                <w:lang w:val="en-US" w:eastAsia="zh-CN"/>
              </w:rPr>
              <w:t>，</w:t>
            </w:r>
            <w:r>
              <w:rPr>
                <w:rFonts w:hint="eastAsia" w:cs="宋体" w:asciiTheme="minorEastAsia" w:hAnsiTheme="minorEastAsia" w:eastAsiaTheme="minorEastAsia"/>
                <w:sz w:val="21"/>
                <w:szCs w:val="21"/>
                <w:lang w:val="en-US"/>
              </w:rPr>
              <w:t>公司计提信用减值损失1.1亿元</w:t>
            </w:r>
            <w:r>
              <w:rPr>
                <w:rFonts w:hint="eastAsia" w:cs="宋体" w:asciiTheme="minorEastAsia" w:hAnsiTheme="minorEastAsia" w:eastAsiaTheme="minorEastAsia"/>
                <w:sz w:val="21"/>
                <w:szCs w:val="21"/>
                <w:lang w:val="en-US" w:eastAsia="zh-CN"/>
              </w:rPr>
              <w:t>，且</w:t>
            </w:r>
            <w:r>
              <w:rPr>
                <w:rFonts w:hint="eastAsia" w:cs="宋体" w:asciiTheme="minorEastAsia" w:hAnsiTheme="minorEastAsia" w:eastAsiaTheme="minorEastAsia"/>
                <w:sz w:val="21"/>
                <w:szCs w:val="21"/>
                <w:lang w:val="en-US"/>
              </w:rPr>
              <w:t>所得税费用增加0.51亿元</w:t>
            </w:r>
            <w:r>
              <w:rPr>
                <w:rFonts w:hint="eastAsia" w:cs="宋体" w:asciiTheme="minorEastAsia" w:hAnsiTheme="minorEastAsia" w:eastAsiaTheme="minorEastAsia"/>
                <w:sz w:val="21"/>
                <w:szCs w:val="21"/>
                <w:lang w:val="en-US" w:eastAsia="zh-CN"/>
              </w:rPr>
              <w:t>，剔除该影响后，公司盈利水平基本保持稳定</w:t>
            </w:r>
            <w:r>
              <w:rPr>
                <w:rFonts w:hint="eastAsia" w:cs="宋体" w:asciiTheme="minorEastAsia" w:hAnsiTheme="minorEastAsia" w:eastAsiaTheme="minorEastAsia"/>
                <w:sz w:val="21"/>
                <w:szCs w:val="21"/>
                <w:lang w:val="en-US"/>
              </w:rPr>
              <w:t>。202</w:t>
            </w:r>
            <w:r>
              <w:rPr>
                <w:rFonts w:hint="eastAsia" w:cs="宋体" w:asciiTheme="minorEastAsia" w:hAnsiTheme="minorEastAsia" w:eastAsiaTheme="minorEastAsia"/>
                <w:sz w:val="21"/>
                <w:szCs w:val="21"/>
                <w:lang w:val="en-US" w:eastAsia="zh-CN"/>
              </w:rPr>
              <w:t>5</w:t>
            </w:r>
            <w:r>
              <w:rPr>
                <w:rFonts w:hint="eastAsia" w:cs="宋体" w:asciiTheme="minorEastAsia" w:hAnsiTheme="minorEastAsia" w:eastAsiaTheme="minorEastAsia"/>
                <w:sz w:val="21"/>
                <w:szCs w:val="21"/>
                <w:lang w:val="en-US"/>
              </w:rPr>
              <w:t>年底</w:t>
            </w:r>
            <w:r>
              <w:rPr>
                <w:rFonts w:hint="eastAsia" w:cs="宋体" w:asciiTheme="minorEastAsia" w:hAnsiTheme="minorEastAsia" w:eastAsiaTheme="minorEastAsia"/>
                <w:sz w:val="21"/>
                <w:szCs w:val="21"/>
                <w:lang w:val="en-US" w:eastAsia="zh-CN"/>
              </w:rPr>
              <w:t>，公司</w:t>
            </w:r>
            <w:r>
              <w:rPr>
                <w:rFonts w:hint="eastAsia" w:cs="宋体" w:asciiTheme="minorEastAsia" w:hAnsiTheme="minorEastAsia" w:eastAsiaTheme="minorEastAsia"/>
                <w:sz w:val="21"/>
                <w:szCs w:val="21"/>
                <w:lang w:val="en-US"/>
              </w:rPr>
              <w:t>在手订单约</w:t>
            </w:r>
            <w:r>
              <w:rPr>
                <w:rFonts w:hint="eastAsia" w:cs="宋体" w:asciiTheme="minorEastAsia" w:hAnsiTheme="minorEastAsia" w:eastAsiaTheme="minorEastAsia"/>
                <w:sz w:val="21"/>
                <w:szCs w:val="21"/>
                <w:lang w:val="en-US" w:eastAsia="zh-CN"/>
              </w:rPr>
              <w:t>47</w:t>
            </w:r>
            <w:r>
              <w:rPr>
                <w:rFonts w:hint="eastAsia" w:cs="宋体" w:asciiTheme="minorEastAsia" w:hAnsiTheme="minorEastAsia" w:eastAsiaTheme="minorEastAsia"/>
                <w:sz w:val="21"/>
                <w:szCs w:val="21"/>
                <w:lang w:val="en-US"/>
              </w:rPr>
              <w:t>亿元，202</w:t>
            </w:r>
            <w:r>
              <w:rPr>
                <w:rFonts w:hint="eastAsia" w:cs="宋体" w:asciiTheme="minorEastAsia" w:hAnsiTheme="minorEastAsia" w:eastAsiaTheme="minorEastAsia"/>
                <w:sz w:val="21"/>
                <w:szCs w:val="21"/>
                <w:lang w:val="en-US" w:eastAsia="zh-CN"/>
              </w:rPr>
              <w:t>6</w:t>
            </w:r>
            <w:r>
              <w:rPr>
                <w:rFonts w:hint="eastAsia" w:cs="宋体" w:asciiTheme="minorEastAsia" w:hAnsiTheme="minorEastAsia" w:eastAsiaTheme="minorEastAsia"/>
                <w:sz w:val="21"/>
                <w:szCs w:val="21"/>
                <w:lang w:val="en-US"/>
              </w:rPr>
              <w:t>年，公司加快推进业务孵化、产品打造与市场推广，补齐业务短板、培育新增长极，营业收入目标为125.51亿元。</w:t>
            </w:r>
          </w:p>
          <w:p w14:paraId="2C35FD21">
            <w:pPr>
              <w:pStyle w:val="13"/>
              <w:ind w:firstLine="420"/>
              <w:jc w:val="both"/>
              <w:rPr>
                <w:rFonts w:cs="宋体" w:asciiTheme="minorEastAsia" w:hAnsiTheme="minorEastAsia" w:eastAsiaTheme="minorEastAsia"/>
                <w:sz w:val="21"/>
                <w:szCs w:val="21"/>
                <w:lang w:val="en-US"/>
              </w:rPr>
            </w:pPr>
          </w:p>
          <w:p w14:paraId="3CF99D87">
            <w:pPr>
              <w:pStyle w:val="13"/>
              <w:ind w:firstLine="420"/>
              <w:jc w:val="both"/>
              <w:rPr>
                <w:rFonts w:cs="宋体" w:asciiTheme="minorEastAsia" w:hAnsiTheme="minorEastAsia" w:eastAsiaTheme="minorEastAsia"/>
                <w:sz w:val="21"/>
                <w:szCs w:val="21"/>
                <w:lang w:val="en-US"/>
              </w:rPr>
            </w:pPr>
            <w:r>
              <w:rPr>
                <w:rFonts w:hint="eastAsia" w:cs="宋体" w:asciiTheme="minorEastAsia" w:hAnsiTheme="minorEastAsia" w:eastAsiaTheme="minorEastAsia"/>
                <w:b/>
                <w:bCs/>
                <w:sz w:val="21"/>
                <w:szCs w:val="21"/>
                <w:lang w:val="en-US"/>
              </w:rPr>
              <w:t>Q2：</w:t>
            </w:r>
            <w:r>
              <w:rPr>
                <w:rFonts w:hint="eastAsia" w:cs="宋体" w:asciiTheme="minorEastAsia" w:hAnsiTheme="minorEastAsia" w:eastAsiaTheme="minorEastAsia"/>
                <w:sz w:val="21"/>
                <w:szCs w:val="21"/>
                <w:lang w:val="en-US"/>
              </w:rPr>
              <w:t>公司2025年出现“增收不增利”，2026年一季度收入利润出现下滑，请问公司核心经营是否会在2026Q2-Q4进行修复？2026年下半年利润释放是否有望明显好于收入增速？</w:t>
            </w:r>
          </w:p>
          <w:p w14:paraId="798467BC">
            <w:pPr>
              <w:pStyle w:val="13"/>
              <w:ind w:firstLine="420"/>
              <w:jc w:val="both"/>
              <w:rPr>
                <w:rFonts w:cs="宋体" w:asciiTheme="minorEastAsia" w:hAnsiTheme="minorEastAsia" w:eastAsiaTheme="minorEastAsia"/>
                <w:b/>
                <w:bCs/>
                <w:sz w:val="21"/>
                <w:szCs w:val="21"/>
                <w:lang w:val="en-US"/>
              </w:rPr>
            </w:pPr>
            <w:r>
              <w:rPr>
                <w:rFonts w:hint="eastAsia" w:cs="宋体" w:asciiTheme="minorEastAsia" w:hAnsiTheme="minorEastAsia" w:eastAsiaTheme="minorEastAsia"/>
                <w:b/>
                <w:bCs/>
                <w:sz w:val="21"/>
                <w:szCs w:val="21"/>
                <w:lang w:val="en-US"/>
              </w:rPr>
              <w:t>A2：</w:t>
            </w:r>
            <w:r>
              <w:rPr>
                <w:rFonts w:hint="eastAsia" w:cs="宋体" w:asciiTheme="minorEastAsia" w:hAnsiTheme="minorEastAsia" w:eastAsiaTheme="minorEastAsia"/>
                <w:sz w:val="21"/>
                <w:szCs w:val="21"/>
                <w:lang w:val="en-US"/>
              </w:rPr>
              <w:t>2026年是“十五五”规划的开局之年，随着新型电力系统建设加速推进，能源数字化智能化转型需求将进一步释放，人工智能、大数据、云计算等新一代信息技术与能源产业的融合将更加深入。公司将充分把握国家数字经济发展、能源数字化转型等重要机遇，深入开拓市场、提质增效，尽最大努力回报股东和广大投资者。公司信息通信业务具有</w:t>
            </w:r>
            <w:r>
              <w:rPr>
                <w:rFonts w:hint="eastAsia" w:cs="宋体" w:asciiTheme="minorEastAsia" w:hAnsiTheme="minorEastAsia" w:eastAsiaTheme="minorEastAsia"/>
                <w:sz w:val="21"/>
                <w:szCs w:val="21"/>
                <w:lang w:val="en-US" w:eastAsia="zh-CN"/>
              </w:rPr>
              <w:t>较强的</w:t>
            </w:r>
            <w:r>
              <w:rPr>
                <w:rFonts w:hint="eastAsia" w:cs="宋体" w:asciiTheme="minorEastAsia" w:hAnsiTheme="minorEastAsia" w:eastAsiaTheme="minorEastAsia"/>
                <w:sz w:val="21"/>
                <w:szCs w:val="21"/>
                <w:lang w:val="en-US"/>
              </w:rPr>
              <w:t>季节性特点，后续的具体经营</w:t>
            </w:r>
            <w:r>
              <w:rPr>
                <w:rFonts w:hint="eastAsia" w:cs="宋体" w:asciiTheme="minorEastAsia" w:hAnsiTheme="minorEastAsia" w:eastAsiaTheme="minorEastAsia"/>
                <w:sz w:val="21"/>
                <w:szCs w:val="21"/>
                <w:lang w:val="en-US" w:eastAsia="zh-CN"/>
              </w:rPr>
              <w:t>情况</w:t>
            </w:r>
            <w:r>
              <w:rPr>
                <w:rFonts w:hint="eastAsia" w:cs="宋体" w:asciiTheme="minorEastAsia" w:hAnsiTheme="minorEastAsia" w:eastAsiaTheme="minorEastAsia"/>
                <w:sz w:val="21"/>
                <w:szCs w:val="21"/>
                <w:lang w:val="en-US"/>
              </w:rPr>
              <w:t>以公司</w:t>
            </w:r>
            <w:r>
              <w:rPr>
                <w:rFonts w:hint="eastAsia" w:cs="宋体" w:asciiTheme="minorEastAsia" w:hAnsiTheme="minorEastAsia" w:eastAsiaTheme="minorEastAsia"/>
                <w:sz w:val="21"/>
                <w:szCs w:val="21"/>
                <w:lang w:val="en-US" w:eastAsia="zh-CN"/>
              </w:rPr>
              <w:t>定期</w:t>
            </w:r>
            <w:r>
              <w:rPr>
                <w:rFonts w:hint="eastAsia" w:cs="宋体" w:asciiTheme="minorEastAsia" w:hAnsiTheme="minorEastAsia" w:eastAsiaTheme="minorEastAsia"/>
                <w:sz w:val="21"/>
                <w:szCs w:val="21"/>
                <w:lang w:val="en-US"/>
              </w:rPr>
              <w:t>报告披露为准。</w:t>
            </w:r>
          </w:p>
          <w:p w14:paraId="0EA5F734">
            <w:pPr>
              <w:pStyle w:val="13"/>
              <w:ind w:firstLine="420"/>
              <w:jc w:val="both"/>
              <w:rPr>
                <w:rFonts w:cs="宋体" w:asciiTheme="minorEastAsia" w:hAnsiTheme="minorEastAsia" w:eastAsiaTheme="minorEastAsia"/>
                <w:b/>
                <w:bCs/>
                <w:sz w:val="21"/>
                <w:szCs w:val="21"/>
                <w:lang w:val="en-US"/>
              </w:rPr>
            </w:pPr>
          </w:p>
          <w:p w14:paraId="7D69E4E9">
            <w:pPr>
              <w:pStyle w:val="13"/>
              <w:ind w:firstLine="420"/>
              <w:jc w:val="both"/>
              <w:rPr>
                <w:rFonts w:hint="default" w:cs="宋体" w:asciiTheme="minorEastAsia" w:hAnsiTheme="minorEastAsia" w:eastAsiaTheme="minorEastAsia"/>
                <w:sz w:val="21"/>
                <w:szCs w:val="21"/>
                <w:lang w:val="en-US" w:eastAsia="zh-CN"/>
              </w:rPr>
            </w:pPr>
            <w:r>
              <w:rPr>
                <w:rFonts w:hint="eastAsia" w:cs="宋体" w:asciiTheme="minorEastAsia" w:hAnsiTheme="minorEastAsia" w:eastAsiaTheme="minorEastAsia"/>
                <w:b/>
                <w:bCs/>
                <w:sz w:val="21"/>
                <w:szCs w:val="21"/>
                <w:lang w:val="en-US"/>
              </w:rPr>
              <w:t>Q3：</w:t>
            </w:r>
            <w:r>
              <w:rPr>
                <w:rFonts w:hint="eastAsia" w:cs="宋体" w:asciiTheme="minorEastAsia" w:hAnsiTheme="minorEastAsia" w:eastAsiaTheme="minorEastAsia"/>
                <w:sz w:val="21"/>
                <w:szCs w:val="21"/>
                <w:lang w:val="en-US"/>
              </w:rPr>
              <w:t>根据2025年年报口径，数字化基础设施业务全年收入53.78亿元、同比+12.01%</w:t>
            </w:r>
            <w:r>
              <w:rPr>
                <w:rFonts w:hint="eastAsia" w:cs="宋体" w:asciiTheme="minorEastAsia" w:hAnsiTheme="minorEastAsia" w:eastAsiaTheme="minorEastAsia"/>
                <w:sz w:val="21"/>
                <w:szCs w:val="21"/>
                <w:lang w:val="en-US" w:eastAsia="zh-CN"/>
              </w:rPr>
              <w:t>，毛利率只有11.94%，同比有所降低，请问公司如何提升后续毛利水平？</w:t>
            </w:r>
          </w:p>
          <w:p w14:paraId="1B533D2F">
            <w:pPr>
              <w:pStyle w:val="13"/>
              <w:ind w:firstLine="420"/>
              <w:jc w:val="both"/>
              <w:rPr>
                <w:rFonts w:hint="eastAsia" w:cs="宋体" w:asciiTheme="minorEastAsia" w:hAnsiTheme="minorEastAsia" w:eastAsiaTheme="minorEastAsia"/>
                <w:sz w:val="21"/>
                <w:szCs w:val="21"/>
                <w:lang w:val="en-US" w:eastAsia="zh-CN"/>
              </w:rPr>
            </w:pPr>
            <w:r>
              <w:rPr>
                <w:rFonts w:hint="eastAsia" w:cs="宋体" w:asciiTheme="minorEastAsia" w:hAnsiTheme="minorEastAsia" w:eastAsiaTheme="minorEastAsia"/>
                <w:b/>
                <w:bCs/>
                <w:sz w:val="21"/>
                <w:szCs w:val="21"/>
                <w:lang w:val="en-US"/>
              </w:rPr>
              <w:t>A3：</w:t>
            </w:r>
            <w:r>
              <w:rPr>
                <w:rFonts w:hint="eastAsia" w:cs="宋体" w:asciiTheme="minorEastAsia" w:hAnsiTheme="minorEastAsia" w:eastAsiaTheme="minorEastAsia"/>
                <w:b w:val="0"/>
                <w:bCs w:val="0"/>
                <w:sz w:val="21"/>
                <w:szCs w:val="21"/>
                <w:lang w:val="en-US" w:eastAsia="zh-CN"/>
              </w:rPr>
              <w:t>2025年公司</w:t>
            </w:r>
            <w:r>
              <w:rPr>
                <w:rFonts w:hint="eastAsia" w:cs="宋体" w:asciiTheme="minorEastAsia" w:hAnsiTheme="minorEastAsia" w:eastAsiaTheme="minorEastAsia"/>
                <w:sz w:val="21"/>
                <w:szCs w:val="21"/>
                <w:lang w:val="en-US"/>
              </w:rPr>
              <w:t>收入结构变化，主要系</w:t>
            </w:r>
            <w:r>
              <w:rPr>
                <w:rFonts w:hint="eastAsia" w:cs="宋体" w:asciiTheme="minorEastAsia" w:hAnsiTheme="minorEastAsia" w:eastAsiaTheme="minorEastAsia"/>
                <w:sz w:val="21"/>
                <w:szCs w:val="21"/>
                <w:lang w:val="en-US" w:eastAsia="zh-CN"/>
              </w:rPr>
              <w:t>公司</w:t>
            </w:r>
            <w:r>
              <w:rPr>
                <w:rFonts w:hint="eastAsia" w:cs="宋体" w:asciiTheme="minorEastAsia" w:hAnsiTheme="minorEastAsia" w:eastAsiaTheme="minorEastAsia"/>
                <w:sz w:val="21"/>
                <w:szCs w:val="21"/>
                <w:lang w:val="en-US"/>
              </w:rPr>
              <w:t>信息化及通信集采业务规模增</w:t>
            </w:r>
            <w:r>
              <w:rPr>
                <w:rFonts w:hint="eastAsia" w:cs="宋体" w:asciiTheme="minorEastAsia" w:hAnsiTheme="minorEastAsia" w:eastAsiaTheme="minorEastAsia"/>
                <w:sz w:val="21"/>
                <w:szCs w:val="21"/>
                <w:lang w:val="en-US" w:eastAsia="zh-CN"/>
              </w:rPr>
              <w:t>加，</w:t>
            </w:r>
            <w:r>
              <w:rPr>
                <w:rFonts w:hint="eastAsia" w:cs="宋体" w:asciiTheme="minorEastAsia" w:hAnsiTheme="minorEastAsia" w:eastAsiaTheme="minorEastAsia"/>
                <w:sz w:val="21"/>
                <w:szCs w:val="21"/>
                <w:lang w:val="en-US"/>
              </w:rPr>
              <w:t>数字化基础设施建设相关业务规模增长，</w:t>
            </w:r>
            <w:r>
              <w:rPr>
                <w:rFonts w:hint="eastAsia" w:cs="宋体" w:asciiTheme="minorEastAsia" w:hAnsiTheme="minorEastAsia" w:eastAsiaTheme="minorEastAsia"/>
                <w:sz w:val="21"/>
                <w:szCs w:val="21"/>
                <w:lang w:val="en-US" w:eastAsia="zh-CN"/>
              </w:rPr>
              <w:t>为全面承接该业务，确保服务质量，公司</w:t>
            </w:r>
            <w:r>
              <w:rPr>
                <w:rFonts w:hint="eastAsia" w:cs="宋体" w:asciiTheme="minorEastAsia" w:hAnsiTheme="minorEastAsia" w:eastAsiaTheme="minorEastAsia"/>
                <w:sz w:val="21"/>
                <w:szCs w:val="21"/>
                <w:lang w:val="en-US"/>
              </w:rPr>
              <w:t>加大通信集采相关集成服务的人力投入，毛利率有所降低</w:t>
            </w:r>
            <w:r>
              <w:rPr>
                <w:rFonts w:hint="eastAsia" w:cs="宋体" w:asciiTheme="minorEastAsia" w:hAnsiTheme="minorEastAsia" w:eastAsiaTheme="minorEastAsia"/>
                <w:sz w:val="21"/>
                <w:szCs w:val="21"/>
                <w:lang w:val="en-US" w:eastAsia="zh-CN"/>
              </w:rPr>
              <w:t>，</w:t>
            </w:r>
            <w:r>
              <w:rPr>
                <w:rFonts w:hint="eastAsia" w:cs="宋体" w:asciiTheme="minorEastAsia" w:hAnsiTheme="minorEastAsia" w:eastAsiaTheme="minorEastAsia"/>
                <w:sz w:val="21"/>
                <w:szCs w:val="21"/>
                <w:lang w:val="en-US"/>
              </w:rPr>
              <w:t>待该业务逐步成熟，供应链整合优势</w:t>
            </w:r>
            <w:r>
              <w:rPr>
                <w:rFonts w:hint="eastAsia" w:cs="宋体" w:asciiTheme="minorEastAsia" w:hAnsiTheme="minorEastAsia" w:eastAsiaTheme="minorEastAsia"/>
                <w:sz w:val="21"/>
                <w:szCs w:val="21"/>
                <w:lang w:val="en-US" w:eastAsia="zh-CN"/>
              </w:rPr>
              <w:t>充分</w:t>
            </w:r>
            <w:r>
              <w:rPr>
                <w:rFonts w:hint="eastAsia" w:cs="宋体" w:asciiTheme="minorEastAsia" w:hAnsiTheme="minorEastAsia" w:eastAsiaTheme="minorEastAsia"/>
                <w:sz w:val="21"/>
                <w:szCs w:val="21"/>
                <w:lang w:val="en-US"/>
              </w:rPr>
              <w:t>发挥后，毛利率应该会有一定提升</w:t>
            </w:r>
            <w:r>
              <w:rPr>
                <w:rFonts w:hint="eastAsia" w:cs="宋体" w:asciiTheme="minorEastAsia" w:hAnsiTheme="minorEastAsia" w:eastAsiaTheme="minorEastAsia"/>
                <w:sz w:val="21"/>
                <w:szCs w:val="21"/>
                <w:lang w:val="en-US" w:eastAsia="zh-CN"/>
              </w:rPr>
              <w:t>。</w:t>
            </w:r>
          </w:p>
          <w:p w14:paraId="21C9DBDD">
            <w:pPr>
              <w:pStyle w:val="13"/>
              <w:ind w:firstLine="420"/>
              <w:jc w:val="both"/>
              <w:rPr>
                <w:rFonts w:cs="宋体" w:asciiTheme="minorEastAsia" w:hAnsiTheme="minorEastAsia" w:eastAsiaTheme="minorEastAsia"/>
                <w:sz w:val="21"/>
                <w:szCs w:val="21"/>
                <w:lang w:val="en-US"/>
              </w:rPr>
            </w:pPr>
          </w:p>
          <w:p w14:paraId="618BF27D">
            <w:pPr>
              <w:pStyle w:val="13"/>
              <w:ind w:firstLine="420"/>
              <w:jc w:val="both"/>
              <w:rPr>
                <w:rFonts w:hint="default" w:cs="宋体" w:asciiTheme="minorEastAsia" w:hAnsiTheme="minorEastAsia" w:eastAsiaTheme="minorEastAsia"/>
                <w:sz w:val="21"/>
                <w:szCs w:val="21"/>
                <w:lang w:val="en-US" w:eastAsia="zh-CN"/>
              </w:rPr>
            </w:pPr>
            <w:r>
              <w:rPr>
                <w:rFonts w:hint="eastAsia" w:cs="宋体" w:asciiTheme="minorEastAsia" w:hAnsiTheme="minorEastAsia" w:eastAsiaTheme="minorEastAsia"/>
                <w:b/>
                <w:bCs/>
                <w:sz w:val="21"/>
                <w:szCs w:val="21"/>
                <w:lang w:val="en-US"/>
              </w:rPr>
              <w:t>Q4：</w:t>
            </w:r>
            <w:r>
              <w:rPr>
                <w:rFonts w:hint="eastAsia" w:cs="宋体" w:asciiTheme="minorEastAsia" w:hAnsiTheme="minorEastAsia" w:eastAsiaTheme="minorEastAsia"/>
                <w:sz w:val="21"/>
                <w:szCs w:val="21"/>
                <w:lang w:val="en-US" w:eastAsia="zh-CN"/>
              </w:rPr>
              <w:t>根据2025年年报口径，前沿技术创新业务收入6.63亿元、同比+38.21%，请问该业务板块后续如何发力？</w:t>
            </w:r>
          </w:p>
          <w:p w14:paraId="56FA6FCE">
            <w:pPr>
              <w:pStyle w:val="13"/>
              <w:ind w:firstLine="420"/>
              <w:jc w:val="both"/>
              <w:rPr>
                <w:rFonts w:hint="default" w:cs="宋体" w:asciiTheme="minorEastAsia" w:hAnsiTheme="minorEastAsia" w:eastAsiaTheme="minorEastAsia"/>
                <w:sz w:val="21"/>
                <w:szCs w:val="21"/>
                <w:lang w:val="en-US" w:eastAsia="zh-CN"/>
              </w:rPr>
            </w:pPr>
            <w:r>
              <w:rPr>
                <w:rFonts w:hint="eastAsia" w:cs="宋体" w:asciiTheme="minorEastAsia" w:hAnsiTheme="minorEastAsia" w:eastAsiaTheme="minorEastAsia"/>
                <w:b/>
                <w:bCs/>
                <w:sz w:val="21"/>
                <w:szCs w:val="21"/>
                <w:lang w:val="en-US"/>
              </w:rPr>
              <w:t>A4：</w:t>
            </w:r>
            <w:r>
              <w:rPr>
                <w:rFonts w:hint="eastAsia" w:cs="宋体" w:asciiTheme="minorEastAsia" w:hAnsiTheme="minorEastAsia" w:eastAsiaTheme="minorEastAsia"/>
                <w:sz w:val="21"/>
                <w:szCs w:val="21"/>
                <w:lang w:val="en-US" w:eastAsia="zh-CN"/>
              </w:rPr>
              <w:t>前沿技术创新（人工智能）业务板块是公司未来重要发力点，</w:t>
            </w:r>
            <w:r>
              <w:rPr>
                <w:rFonts w:hint="eastAsia" w:cs="宋体" w:asciiTheme="minorEastAsia" w:hAnsiTheme="minorEastAsia" w:eastAsiaTheme="minorEastAsia"/>
                <w:sz w:val="21"/>
                <w:szCs w:val="21"/>
                <w:lang w:val="en-US"/>
              </w:rPr>
              <w:t>现阶段公司承接的人工智能项目根据应用场景呈多样化特征，已实现大部分功能的复用，正在推进相关共性应用场景及能力的标准化打磨，实现应用场景级的产品标准化，随着相关智能体应用价值逐步释放，后续产品有望在不同省市公司进行推广复用。</w:t>
            </w:r>
          </w:p>
          <w:p w14:paraId="04AFA1EB">
            <w:pPr>
              <w:pStyle w:val="13"/>
              <w:ind w:firstLine="420"/>
              <w:jc w:val="both"/>
              <w:rPr>
                <w:rFonts w:cs="宋体" w:asciiTheme="minorEastAsia" w:hAnsiTheme="minorEastAsia" w:eastAsiaTheme="minorEastAsia"/>
                <w:sz w:val="21"/>
                <w:szCs w:val="21"/>
                <w:lang w:val="en-US"/>
              </w:rPr>
            </w:pPr>
          </w:p>
          <w:p w14:paraId="17F62828">
            <w:pPr>
              <w:pStyle w:val="13"/>
              <w:ind w:firstLine="420"/>
              <w:jc w:val="both"/>
              <w:rPr>
                <w:rFonts w:cs="宋体" w:asciiTheme="minorEastAsia" w:hAnsiTheme="minorEastAsia" w:eastAsiaTheme="minorEastAsia"/>
                <w:sz w:val="21"/>
                <w:szCs w:val="21"/>
                <w:lang w:val="en-US"/>
              </w:rPr>
            </w:pPr>
            <w:r>
              <w:rPr>
                <w:rFonts w:hint="eastAsia" w:cs="宋体" w:asciiTheme="minorEastAsia" w:hAnsiTheme="minorEastAsia" w:eastAsiaTheme="minorEastAsia"/>
                <w:b/>
                <w:bCs/>
                <w:sz w:val="21"/>
                <w:szCs w:val="21"/>
                <w:lang w:val="en-US"/>
              </w:rPr>
              <w:t>Q5：</w:t>
            </w:r>
            <w:r>
              <w:rPr>
                <w:rFonts w:hint="eastAsia" w:cs="宋体" w:asciiTheme="minorEastAsia" w:hAnsiTheme="minorEastAsia" w:eastAsiaTheme="minorEastAsia"/>
                <w:sz w:val="21"/>
                <w:szCs w:val="21"/>
                <w:lang w:val="en-US"/>
              </w:rPr>
              <w:t>公司2025年末在手订单47.3亿元，其中30.4亿元将在2026年确定收入，2026年营收目标125.51亿元，请问公司是否可以顺利完成任务？</w:t>
            </w:r>
          </w:p>
          <w:p w14:paraId="0D50D249">
            <w:pPr>
              <w:pStyle w:val="13"/>
              <w:ind w:firstLine="420"/>
              <w:jc w:val="both"/>
              <w:rPr>
                <w:rFonts w:hint="eastAsia" w:cs="宋体" w:asciiTheme="minorEastAsia" w:hAnsiTheme="minorEastAsia" w:eastAsiaTheme="minorEastAsia"/>
                <w:sz w:val="21"/>
                <w:szCs w:val="21"/>
                <w:lang w:val="en-US"/>
              </w:rPr>
            </w:pPr>
            <w:r>
              <w:rPr>
                <w:rFonts w:hint="eastAsia" w:cs="宋体" w:asciiTheme="minorEastAsia" w:hAnsiTheme="minorEastAsia" w:eastAsiaTheme="minorEastAsia"/>
                <w:b/>
                <w:bCs/>
                <w:sz w:val="21"/>
                <w:szCs w:val="21"/>
                <w:lang w:val="en-US"/>
              </w:rPr>
              <w:t>A5：</w:t>
            </w:r>
            <w:r>
              <w:rPr>
                <w:rFonts w:hint="eastAsia" w:cs="宋体" w:asciiTheme="minorEastAsia" w:hAnsiTheme="minorEastAsia" w:eastAsiaTheme="minorEastAsia"/>
                <w:sz w:val="21"/>
                <w:szCs w:val="21"/>
                <w:lang w:val="en-US"/>
              </w:rPr>
              <w:t>公司2026年将加快推进业务孵化、产品打造与市场推广，补齐业务短板、培育新增长极，</w:t>
            </w:r>
            <w:r>
              <w:rPr>
                <w:rFonts w:hint="eastAsia" w:cs="宋体" w:asciiTheme="minorEastAsia" w:hAnsiTheme="minorEastAsia" w:eastAsiaTheme="minorEastAsia"/>
                <w:sz w:val="21"/>
                <w:szCs w:val="21"/>
                <w:lang w:val="en-US" w:eastAsia="zh-CN"/>
              </w:rPr>
              <w:t>力争</w:t>
            </w:r>
            <w:r>
              <w:rPr>
                <w:rFonts w:hint="eastAsia" w:cs="宋体" w:asciiTheme="minorEastAsia" w:hAnsiTheme="minorEastAsia" w:eastAsiaTheme="minorEastAsia"/>
                <w:sz w:val="21"/>
                <w:szCs w:val="21"/>
                <w:lang w:val="en-US"/>
              </w:rPr>
              <w:t>完成全年目标任务。</w:t>
            </w:r>
          </w:p>
          <w:p w14:paraId="35F10904">
            <w:pPr>
              <w:pStyle w:val="13"/>
              <w:ind w:firstLine="420"/>
              <w:jc w:val="both"/>
              <w:rPr>
                <w:rFonts w:cs="宋体" w:asciiTheme="minorEastAsia" w:hAnsiTheme="minorEastAsia" w:eastAsiaTheme="minorEastAsia"/>
                <w:sz w:val="21"/>
                <w:szCs w:val="21"/>
                <w:lang w:val="en-US"/>
              </w:rPr>
            </w:pPr>
          </w:p>
          <w:p w14:paraId="7323F596">
            <w:pPr>
              <w:pStyle w:val="13"/>
              <w:ind w:firstLine="420"/>
              <w:jc w:val="both"/>
              <w:rPr>
                <w:rFonts w:cs="宋体" w:asciiTheme="minorEastAsia" w:hAnsiTheme="minorEastAsia" w:eastAsiaTheme="minorEastAsia"/>
                <w:sz w:val="21"/>
                <w:szCs w:val="21"/>
                <w:lang w:val="en-US"/>
              </w:rPr>
            </w:pPr>
            <w:r>
              <w:rPr>
                <w:rFonts w:hint="eastAsia" w:cs="宋体" w:asciiTheme="minorEastAsia" w:hAnsiTheme="minorEastAsia" w:eastAsiaTheme="minorEastAsia"/>
                <w:b/>
                <w:bCs/>
                <w:sz w:val="21"/>
                <w:szCs w:val="21"/>
                <w:lang w:val="en-US"/>
              </w:rPr>
              <w:t>Q6：</w:t>
            </w:r>
            <w:r>
              <w:rPr>
                <w:rFonts w:hint="eastAsia" w:cs="宋体" w:asciiTheme="minorEastAsia" w:hAnsiTheme="minorEastAsia" w:eastAsiaTheme="minorEastAsia"/>
                <w:sz w:val="21"/>
                <w:szCs w:val="21"/>
                <w:lang w:val="en-US"/>
              </w:rPr>
              <w:t>近期市场热议"算电协同"概念，请问公司如何看待这一趋势带来的业务机遇？公司在"算电协同"方面有哪些具体布局和竞争优势？</w:t>
            </w:r>
          </w:p>
          <w:p w14:paraId="78165187">
            <w:pPr>
              <w:pStyle w:val="13"/>
              <w:ind w:firstLine="420"/>
              <w:jc w:val="both"/>
              <w:rPr>
                <w:rFonts w:cs="宋体" w:asciiTheme="minorEastAsia" w:hAnsiTheme="minorEastAsia" w:eastAsiaTheme="minorEastAsia"/>
                <w:sz w:val="21"/>
                <w:szCs w:val="21"/>
                <w:lang w:val="en-US"/>
              </w:rPr>
            </w:pPr>
            <w:r>
              <w:rPr>
                <w:rFonts w:hint="eastAsia" w:cs="宋体" w:asciiTheme="minorEastAsia" w:hAnsiTheme="minorEastAsia" w:eastAsiaTheme="minorEastAsia"/>
                <w:b/>
                <w:bCs/>
                <w:sz w:val="21"/>
                <w:szCs w:val="21"/>
                <w:lang w:val="en-US"/>
              </w:rPr>
              <w:t>A6：</w:t>
            </w:r>
            <w:r>
              <w:rPr>
                <w:rFonts w:hint="eastAsia" w:cs="宋体" w:asciiTheme="minorEastAsia" w:hAnsiTheme="minorEastAsia" w:eastAsiaTheme="minorEastAsia"/>
                <w:sz w:val="21"/>
                <w:szCs w:val="21"/>
                <w:lang w:val="en-US"/>
              </w:rPr>
              <w:t>当前，算电协同已成为数字经济与能源转型深度融合共振的核心赛道，更是支撑新型电力系统建设、落实双碳战略的关键抓手。随着绿色算力、网荷互动、低碳用能等政策导向持续落地，行业长期成长逻辑清晰、发展空间广阔。</w:t>
            </w:r>
            <w:r>
              <w:rPr>
                <w:rFonts w:hint="eastAsia" w:cs="宋体" w:asciiTheme="minorEastAsia" w:hAnsiTheme="minorEastAsia" w:eastAsiaTheme="minorEastAsia"/>
                <w:sz w:val="21"/>
                <w:szCs w:val="21"/>
                <w:lang w:val="en-US" w:eastAsia="zh-CN"/>
              </w:rPr>
              <w:t>公司</w:t>
            </w:r>
            <w:r>
              <w:rPr>
                <w:rFonts w:hint="eastAsia" w:cs="宋体" w:asciiTheme="minorEastAsia" w:hAnsiTheme="minorEastAsia" w:eastAsiaTheme="minorEastAsia"/>
                <w:sz w:val="21"/>
                <w:szCs w:val="21"/>
                <w:lang w:val="en-US"/>
              </w:rPr>
              <w:t>锚定“国内领先的能源数字化智能化创新企业”战略目标，依托六大业务布局，以数字底座为支撑、智能服务为抓手、绿色低碳为导向，构建电力算力融合通信网络，打造智能营销用能服务体系，完善绿电消纳及绿证交易服务机制</w:t>
            </w:r>
            <w:r>
              <w:rPr>
                <w:rFonts w:hint="eastAsia" w:cs="宋体" w:asciiTheme="minorEastAsia" w:hAnsiTheme="minorEastAsia" w:eastAsiaTheme="minorEastAsia"/>
                <w:sz w:val="21"/>
                <w:szCs w:val="21"/>
                <w:lang w:val="en-US" w:eastAsia="zh-CN"/>
              </w:rPr>
              <w:t>等，</w:t>
            </w:r>
            <w:r>
              <w:rPr>
                <w:rFonts w:hint="eastAsia" w:cs="宋体" w:asciiTheme="minorEastAsia" w:hAnsiTheme="minorEastAsia" w:eastAsiaTheme="minorEastAsia"/>
                <w:sz w:val="21"/>
                <w:szCs w:val="21"/>
                <w:lang w:val="en-US"/>
              </w:rPr>
              <w:t>持续拓展算电协同优质应用场景，培育企业全新增长动能。未来，公司将深度服务新型电力系统建设与能源绿色低碳转型，以硬核实力夯实发展根基，以创新驱动释放成长价值，持续为股东创造长期稳定回报，与资本市场共享能源数字化转型红利。</w:t>
            </w:r>
          </w:p>
          <w:p w14:paraId="4534EEA5">
            <w:pPr>
              <w:pStyle w:val="13"/>
              <w:ind w:firstLine="420"/>
              <w:jc w:val="both"/>
              <w:rPr>
                <w:rFonts w:cs="宋体" w:asciiTheme="minorEastAsia" w:hAnsiTheme="minorEastAsia" w:eastAsiaTheme="minorEastAsia"/>
                <w:sz w:val="21"/>
                <w:szCs w:val="21"/>
                <w:lang w:val="en-US"/>
              </w:rPr>
            </w:pPr>
          </w:p>
          <w:p w14:paraId="7B4A8264">
            <w:pPr>
              <w:pStyle w:val="13"/>
              <w:autoSpaceDE/>
              <w:autoSpaceDN/>
              <w:jc w:val="both"/>
              <w:rPr>
                <w:rFonts w:cs="宋体" w:asciiTheme="minorEastAsia" w:hAnsiTheme="minorEastAsia" w:eastAsiaTheme="minorEastAsia"/>
                <w:sz w:val="21"/>
                <w:szCs w:val="21"/>
                <w:lang w:val="en-US"/>
              </w:rPr>
            </w:pPr>
          </w:p>
        </w:tc>
      </w:tr>
      <w:tr w14:paraId="7D0416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jc w:val="center"/>
        </w:trPr>
        <w:tc>
          <w:tcPr>
            <w:tcW w:w="1668" w:type="dxa"/>
            <w:vAlign w:val="center"/>
          </w:tcPr>
          <w:p w14:paraId="27FA3865">
            <w:pPr>
              <w:pStyle w:val="13"/>
              <w:autoSpaceDE/>
              <w:autoSpaceDN/>
              <w:spacing w:before="1"/>
              <w:ind w:left="107"/>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附件清单（如有）</w:t>
            </w:r>
          </w:p>
        </w:tc>
        <w:tc>
          <w:tcPr>
            <w:tcW w:w="7261" w:type="dxa"/>
            <w:vAlign w:val="center"/>
          </w:tcPr>
          <w:p w14:paraId="45522FE4">
            <w:pPr>
              <w:pStyle w:val="13"/>
              <w:autoSpaceDE/>
              <w:autoSpaceDN/>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无</w:t>
            </w:r>
          </w:p>
        </w:tc>
      </w:tr>
      <w:tr w14:paraId="4452A6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4" w:hRule="atLeast"/>
          <w:jc w:val="center"/>
        </w:trPr>
        <w:tc>
          <w:tcPr>
            <w:tcW w:w="1668" w:type="dxa"/>
            <w:vAlign w:val="center"/>
          </w:tcPr>
          <w:p w14:paraId="20D90F1F">
            <w:pPr>
              <w:pStyle w:val="13"/>
              <w:autoSpaceDE/>
              <w:autoSpaceDN/>
              <w:spacing w:before="1"/>
              <w:ind w:left="107"/>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日期</w:t>
            </w:r>
          </w:p>
        </w:tc>
        <w:tc>
          <w:tcPr>
            <w:tcW w:w="7261" w:type="dxa"/>
            <w:vAlign w:val="center"/>
          </w:tcPr>
          <w:p w14:paraId="4225EF1B">
            <w:pPr>
              <w:pStyle w:val="13"/>
              <w:autoSpaceDE/>
              <w:autoSpaceDN/>
              <w:rPr>
                <w:rFonts w:cs="宋体" w:asciiTheme="minorEastAsia" w:hAnsiTheme="minorEastAsia" w:eastAsiaTheme="minorEastAsia"/>
                <w:sz w:val="21"/>
                <w:szCs w:val="21"/>
              </w:rPr>
            </w:pPr>
            <w:r>
              <w:rPr>
                <w:rFonts w:cs="宋体" w:asciiTheme="minorEastAsia" w:hAnsiTheme="minorEastAsia" w:eastAsiaTheme="minorEastAsia"/>
                <w:sz w:val="21"/>
                <w:szCs w:val="21"/>
              </w:rPr>
              <w:t>202</w:t>
            </w:r>
            <w:r>
              <w:rPr>
                <w:rFonts w:hint="eastAsia" w:cs="宋体" w:asciiTheme="minorEastAsia" w:hAnsiTheme="minorEastAsia" w:eastAsiaTheme="minorEastAsia"/>
                <w:sz w:val="21"/>
                <w:szCs w:val="21"/>
                <w:lang w:val="en-US" w:eastAsia="zh-CN"/>
              </w:rPr>
              <w:t>6</w:t>
            </w:r>
            <w:r>
              <w:rPr>
                <w:rFonts w:cs="宋体" w:asciiTheme="minorEastAsia" w:hAnsiTheme="minorEastAsia" w:eastAsiaTheme="minorEastAsia"/>
                <w:sz w:val="21"/>
                <w:szCs w:val="21"/>
              </w:rPr>
              <w:t>年</w:t>
            </w:r>
            <w:r>
              <w:rPr>
                <w:rFonts w:hint="eastAsia" w:cs="宋体" w:asciiTheme="minorEastAsia" w:hAnsiTheme="minorEastAsia" w:eastAsiaTheme="minorEastAsia"/>
                <w:sz w:val="21"/>
                <w:szCs w:val="21"/>
                <w:lang w:val="en-US" w:eastAsia="zh-CN"/>
              </w:rPr>
              <w:t>4</w:t>
            </w:r>
            <w:r>
              <w:rPr>
                <w:rFonts w:cs="宋体" w:asciiTheme="minorEastAsia" w:hAnsiTheme="minorEastAsia" w:eastAsiaTheme="minorEastAsia"/>
                <w:sz w:val="21"/>
                <w:szCs w:val="21"/>
              </w:rPr>
              <w:t>月</w:t>
            </w:r>
            <w:r>
              <w:rPr>
                <w:rFonts w:hint="eastAsia" w:cs="宋体" w:asciiTheme="minorEastAsia" w:hAnsiTheme="minorEastAsia" w:eastAsiaTheme="minorEastAsia"/>
                <w:sz w:val="21"/>
                <w:szCs w:val="21"/>
                <w:lang w:val="en-US" w:eastAsia="zh-CN"/>
              </w:rPr>
              <w:t>27</w:t>
            </w:r>
            <w:r>
              <w:rPr>
                <w:rFonts w:cs="宋体" w:asciiTheme="minorEastAsia" w:hAnsiTheme="minorEastAsia" w:eastAsiaTheme="minorEastAsia"/>
                <w:sz w:val="21"/>
                <w:szCs w:val="21"/>
              </w:rPr>
              <w:t>日</w:t>
            </w:r>
          </w:p>
        </w:tc>
      </w:tr>
    </w:tbl>
    <w:p w14:paraId="31C249AA">
      <w:pPr>
        <w:autoSpaceDE/>
        <w:autoSpaceDN/>
        <w:rPr>
          <w:rFonts w:ascii="宋体" w:hAnsi="宋体" w:eastAsia="宋体" w:cs="宋体"/>
          <w:sz w:val="28"/>
          <w:szCs w:val="36"/>
        </w:rPr>
      </w:pPr>
    </w:p>
    <w:sectPr>
      <w:type w:val="continuous"/>
      <w:pgSz w:w="11910" w:h="16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 w:name="KSO_WPS_MARK_KEY" w:val="2c435c71-ef9c-48ec-a045-b35c10dfee0e"/>
  </w:docVars>
  <w:rsids>
    <w:rsidRoot w:val="00FE090A"/>
    <w:rsid w:val="0000317A"/>
    <w:rsid w:val="00014310"/>
    <w:rsid w:val="00021BFD"/>
    <w:rsid w:val="000338A7"/>
    <w:rsid w:val="0004382A"/>
    <w:rsid w:val="00063764"/>
    <w:rsid w:val="00067D7C"/>
    <w:rsid w:val="00074ABA"/>
    <w:rsid w:val="000A0BCA"/>
    <w:rsid w:val="000A4C5B"/>
    <w:rsid w:val="000A4ED0"/>
    <w:rsid w:val="000C2605"/>
    <w:rsid w:val="000E0E8B"/>
    <w:rsid w:val="000F3595"/>
    <w:rsid w:val="0010669F"/>
    <w:rsid w:val="00124CAF"/>
    <w:rsid w:val="00134F3A"/>
    <w:rsid w:val="00145D46"/>
    <w:rsid w:val="00151F38"/>
    <w:rsid w:val="001821FF"/>
    <w:rsid w:val="0018348F"/>
    <w:rsid w:val="00183EE2"/>
    <w:rsid w:val="001931E9"/>
    <w:rsid w:val="00193C4D"/>
    <w:rsid w:val="001954B1"/>
    <w:rsid w:val="001A1813"/>
    <w:rsid w:val="001A5625"/>
    <w:rsid w:val="001B0EDD"/>
    <w:rsid w:val="001C0A51"/>
    <w:rsid w:val="001C719B"/>
    <w:rsid w:val="001E11C3"/>
    <w:rsid w:val="001E5A5E"/>
    <w:rsid w:val="001E740B"/>
    <w:rsid w:val="001F434B"/>
    <w:rsid w:val="001F78EA"/>
    <w:rsid w:val="00203D05"/>
    <w:rsid w:val="00203E5D"/>
    <w:rsid w:val="00217A3D"/>
    <w:rsid w:val="0022761E"/>
    <w:rsid w:val="00236833"/>
    <w:rsid w:val="00236F05"/>
    <w:rsid w:val="0025182A"/>
    <w:rsid w:val="0025695B"/>
    <w:rsid w:val="00277AD2"/>
    <w:rsid w:val="00294A53"/>
    <w:rsid w:val="002B02BE"/>
    <w:rsid w:val="002B0354"/>
    <w:rsid w:val="002B2A11"/>
    <w:rsid w:val="002B4841"/>
    <w:rsid w:val="002B7009"/>
    <w:rsid w:val="002B741A"/>
    <w:rsid w:val="002C2F94"/>
    <w:rsid w:val="002C4ACB"/>
    <w:rsid w:val="002C4C4B"/>
    <w:rsid w:val="002F14F9"/>
    <w:rsid w:val="002F61FD"/>
    <w:rsid w:val="003058D6"/>
    <w:rsid w:val="00307DAF"/>
    <w:rsid w:val="003223DA"/>
    <w:rsid w:val="00327AB3"/>
    <w:rsid w:val="00336D55"/>
    <w:rsid w:val="00346888"/>
    <w:rsid w:val="003807BC"/>
    <w:rsid w:val="003A2396"/>
    <w:rsid w:val="003B0B48"/>
    <w:rsid w:val="003B16E6"/>
    <w:rsid w:val="003C2519"/>
    <w:rsid w:val="003C7153"/>
    <w:rsid w:val="003D429D"/>
    <w:rsid w:val="003E2131"/>
    <w:rsid w:val="003E69EB"/>
    <w:rsid w:val="003F333C"/>
    <w:rsid w:val="00406E5A"/>
    <w:rsid w:val="0041366F"/>
    <w:rsid w:val="00422FC0"/>
    <w:rsid w:val="004268AA"/>
    <w:rsid w:val="0043184E"/>
    <w:rsid w:val="00431A44"/>
    <w:rsid w:val="00432C7D"/>
    <w:rsid w:val="004605E8"/>
    <w:rsid w:val="00465A8F"/>
    <w:rsid w:val="00491A78"/>
    <w:rsid w:val="0049202C"/>
    <w:rsid w:val="0049641E"/>
    <w:rsid w:val="004B77B8"/>
    <w:rsid w:val="004E40C6"/>
    <w:rsid w:val="004E7317"/>
    <w:rsid w:val="004F10EA"/>
    <w:rsid w:val="00501A4F"/>
    <w:rsid w:val="005074C2"/>
    <w:rsid w:val="00511FB5"/>
    <w:rsid w:val="00514F35"/>
    <w:rsid w:val="00516861"/>
    <w:rsid w:val="00523934"/>
    <w:rsid w:val="005442A1"/>
    <w:rsid w:val="0057268E"/>
    <w:rsid w:val="0057471F"/>
    <w:rsid w:val="00575B9D"/>
    <w:rsid w:val="005855B6"/>
    <w:rsid w:val="00593C7B"/>
    <w:rsid w:val="0059714D"/>
    <w:rsid w:val="005A762F"/>
    <w:rsid w:val="005B7B33"/>
    <w:rsid w:val="005F03D1"/>
    <w:rsid w:val="005F32D8"/>
    <w:rsid w:val="005F3FB7"/>
    <w:rsid w:val="005F55EC"/>
    <w:rsid w:val="006017AD"/>
    <w:rsid w:val="00603817"/>
    <w:rsid w:val="0063435C"/>
    <w:rsid w:val="00654EB6"/>
    <w:rsid w:val="00680546"/>
    <w:rsid w:val="006A3536"/>
    <w:rsid w:val="006C38C8"/>
    <w:rsid w:val="006E7FF8"/>
    <w:rsid w:val="006F1EDE"/>
    <w:rsid w:val="007003C4"/>
    <w:rsid w:val="00710D10"/>
    <w:rsid w:val="00711795"/>
    <w:rsid w:val="00713CF0"/>
    <w:rsid w:val="007229F9"/>
    <w:rsid w:val="0072429A"/>
    <w:rsid w:val="0073232F"/>
    <w:rsid w:val="007461FF"/>
    <w:rsid w:val="00750890"/>
    <w:rsid w:val="00751B3E"/>
    <w:rsid w:val="0075789B"/>
    <w:rsid w:val="00767429"/>
    <w:rsid w:val="00772916"/>
    <w:rsid w:val="00780C07"/>
    <w:rsid w:val="0078456B"/>
    <w:rsid w:val="00785140"/>
    <w:rsid w:val="007900FA"/>
    <w:rsid w:val="0079200F"/>
    <w:rsid w:val="00797972"/>
    <w:rsid w:val="007A05A0"/>
    <w:rsid w:val="007A230C"/>
    <w:rsid w:val="007A47E1"/>
    <w:rsid w:val="007A71C8"/>
    <w:rsid w:val="007B058F"/>
    <w:rsid w:val="007D6BB1"/>
    <w:rsid w:val="007E3B48"/>
    <w:rsid w:val="007F1E6E"/>
    <w:rsid w:val="00805858"/>
    <w:rsid w:val="00812879"/>
    <w:rsid w:val="00814723"/>
    <w:rsid w:val="0082723D"/>
    <w:rsid w:val="00864005"/>
    <w:rsid w:val="00865CE1"/>
    <w:rsid w:val="0087166E"/>
    <w:rsid w:val="00871C40"/>
    <w:rsid w:val="00872319"/>
    <w:rsid w:val="00897104"/>
    <w:rsid w:val="008B334C"/>
    <w:rsid w:val="008C7E23"/>
    <w:rsid w:val="008E02ED"/>
    <w:rsid w:val="008E120A"/>
    <w:rsid w:val="008F4CAC"/>
    <w:rsid w:val="00902C93"/>
    <w:rsid w:val="009101D4"/>
    <w:rsid w:val="00921522"/>
    <w:rsid w:val="009338E7"/>
    <w:rsid w:val="0093435F"/>
    <w:rsid w:val="00944D52"/>
    <w:rsid w:val="00952F0D"/>
    <w:rsid w:val="00971CBF"/>
    <w:rsid w:val="00973F4F"/>
    <w:rsid w:val="009900BC"/>
    <w:rsid w:val="009917E2"/>
    <w:rsid w:val="00994317"/>
    <w:rsid w:val="009A329E"/>
    <w:rsid w:val="009B2294"/>
    <w:rsid w:val="009C43FA"/>
    <w:rsid w:val="009E7676"/>
    <w:rsid w:val="00A03106"/>
    <w:rsid w:val="00A06CFF"/>
    <w:rsid w:val="00A341C0"/>
    <w:rsid w:val="00A51F21"/>
    <w:rsid w:val="00A57C25"/>
    <w:rsid w:val="00A72A18"/>
    <w:rsid w:val="00A7698C"/>
    <w:rsid w:val="00A81993"/>
    <w:rsid w:val="00A82230"/>
    <w:rsid w:val="00A87B71"/>
    <w:rsid w:val="00A90876"/>
    <w:rsid w:val="00AA4200"/>
    <w:rsid w:val="00AA7743"/>
    <w:rsid w:val="00AB108F"/>
    <w:rsid w:val="00AB6EF2"/>
    <w:rsid w:val="00AC6E18"/>
    <w:rsid w:val="00AD6E91"/>
    <w:rsid w:val="00B11F2D"/>
    <w:rsid w:val="00B147CB"/>
    <w:rsid w:val="00B25ED7"/>
    <w:rsid w:val="00B33C7D"/>
    <w:rsid w:val="00B42279"/>
    <w:rsid w:val="00B5202F"/>
    <w:rsid w:val="00B704E3"/>
    <w:rsid w:val="00B73E1A"/>
    <w:rsid w:val="00B93366"/>
    <w:rsid w:val="00B93858"/>
    <w:rsid w:val="00BB39AC"/>
    <w:rsid w:val="00BC36AE"/>
    <w:rsid w:val="00BD7D08"/>
    <w:rsid w:val="00BF2CB3"/>
    <w:rsid w:val="00BF46E1"/>
    <w:rsid w:val="00BF5055"/>
    <w:rsid w:val="00C07D6E"/>
    <w:rsid w:val="00C1113C"/>
    <w:rsid w:val="00C2438C"/>
    <w:rsid w:val="00C32F81"/>
    <w:rsid w:val="00C352C4"/>
    <w:rsid w:val="00C52000"/>
    <w:rsid w:val="00C62F9B"/>
    <w:rsid w:val="00C83723"/>
    <w:rsid w:val="00C91FCC"/>
    <w:rsid w:val="00C92D07"/>
    <w:rsid w:val="00CB6CAD"/>
    <w:rsid w:val="00CC50CD"/>
    <w:rsid w:val="00CC7EC7"/>
    <w:rsid w:val="00CE04E8"/>
    <w:rsid w:val="00CE0C80"/>
    <w:rsid w:val="00CF6E3F"/>
    <w:rsid w:val="00D00D4A"/>
    <w:rsid w:val="00D058F7"/>
    <w:rsid w:val="00D07F50"/>
    <w:rsid w:val="00D16282"/>
    <w:rsid w:val="00D22C5F"/>
    <w:rsid w:val="00D3310F"/>
    <w:rsid w:val="00D35736"/>
    <w:rsid w:val="00D40A0E"/>
    <w:rsid w:val="00D46D03"/>
    <w:rsid w:val="00D52049"/>
    <w:rsid w:val="00D63902"/>
    <w:rsid w:val="00D673FC"/>
    <w:rsid w:val="00D71DDB"/>
    <w:rsid w:val="00D82D4E"/>
    <w:rsid w:val="00D851BF"/>
    <w:rsid w:val="00D9248C"/>
    <w:rsid w:val="00D9379E"/>
    <w:rsid w:val="00D94299"/>
    <w:rsid w:val="00DB1B0B"/>
    <w:rsid w:val="00DC603B"/>
    <w:rsid w:val="00DD2DAC"/>
    <w:rsid w:val="00DE6E6B"/>
    <w:rsid w:val="00DF09F4"/>
    <w:rsid w:val="00DF6FFF"/>
    <w:rsid w:val="00E000E6"/>
    <w:rsid w:val="00E10C1D"/>
    <w:rsid w:val="00E142DF"/>
    <w:rsid w:val="00E1795A"/>
    <w:rsid w:val="00E20AB2"/>
    <w:rsid w:val="00E377D9"/>
    <w:rsid w:val="00E4493E"/>
    <w:rsid w:val="00E45707"/>
    <w:rsid w:val="00E50AFE"/>
    <w:rsid w:val="00E569A2"/>
    <w:rsid w:val="00E7272A"/>
    <w:rsid w:val="00E8530C"/>
    <w:rsid w:val="00E95DC7"/>
    <w:rsid w:val="00EA43CB"/>
    <w:rsid w:val="00EA654A"/>
    <w:rsid w:val="00EA69A8"/>
    <w:rsid w:val="00EB792F"/>
    <w:rsid w:val="00EB7F49"/>
    <w:rsid w:val="00ED17EA"/>
    <w:rsid w:val="00ED5480"/>
    <w:rsid w:val="00EE7B10"/>
    <w:rsid w:val="00F13CA0"/>
    <w:rsid w:val="00F14705"/>
    <w:rsid w:val="00F33A60"/>
    <w:rsid w:val="00F414E3"/>
    <w:rsid w:val="00F700A3"/>
    <w:rsid w:val="00FA6AD7"/>
    <w:rsid w:val="00FC1CD4"/>
    <w:rsid w:val="00FC51FB"/>
    <w:rsid w:val="00FD2995"/>
    <w:rsid w:val="00FD2A4E"/>
    <w:rsid w:val="00FD4468"/>
    <w:rsid w:val="00FE090A"/>
    <w:rsid w:val="00FF4CFD"/>
    <w:rsid w:val="021C2135"/>
    <w:rsid w:val="023C4FD6"/>
    <w:rsid w:val="059A7B14"/>
    <w:rsid w:val="09186774"/>
    <w:rsid w:val="12070CAE"/>
    <w:rsid w:val="1ACD3A3F"/>
    <w:rsid w:val="1CB258E6"/>
    <w:rsid w:val="1EEE35B6"/>
    <w:rsid w:val="22DB168B"/>
    <w:rsid w:val="231A257E"/>
    <w:rsid w:val="274C3AC5"/>
    <w:rsid w:val="2EB26EB4"/>
    <w:rsid w:val="31577AC7"/>
    <w:rsid w:val="32043B5F"/>
    <w:rsid w:val="382175A5"/>
    <w:rsid w:val="391E62C7"/>
    <w:rsid w:val="39493B3C"/>
    <w:rsid w:val="3D0460C7"/>
    <w:rsid w:val="486B5C19"/>
    <w:rsid w:val="56897C76"/>
    <w:rsid w:val="58BC30CE"/>
    <w:rsid w:val="5D2E75EC"/>
    <w:rsid w:val="62692D71"/>
    <w:rsid w:val="628D05DF"/>
    <w:rsid w:val="63236183"/>
    <w:rsid w:val="63BE2A75"/>
    <w:rsid w:val="68790BC7"/>
    <w:rsid w:val="72645D3A"/>
    <w:rsid w:val="75CC401C"/>
    <w:rsid w:val="77885468"/>
    <w:rsid w:val="7D3F6E72"/>
    <w:rsid w:val="7D956C94"/>
    <w:rsid w:val="7DD37FAE"/>
    <w:rsid w:val="7E657F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仿宋" w:hAnsi="仿宋" w:eastAsia="仿宋" w:cs="仿宋"/>
      <w:sz w:val="22"/>
      <w:szCs w:val="22"/>
      <w:lang w:val="zh-CN" w:eastAsia="zh-CN" w:bidi="zh-CN"/>
    </w:rPr>
  </w:style>
  <w:style w:type="paragraph" w:styleId="3">
    <w:name w:val="heading 1"/>
    <w:basedOn w:val="1"/>
    <w:next w:val="1"/>
    <w:qFormat/>
    <w:uiPriority w:val="1"/>
    <w:pPr>
      <w:outlineLvl w:val="0"/>
    </w:pPr>
    <w:rPr>
      <w:rFonts w:ascii="PMingLiU" w:hAnsi="PMingLiU" w:eastAsia="PMingLiU" w:cs="PMingLiU"/>
      <w:sz w:val="44"/>
      <w:szCs w:val="4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99"/>
    <w:pPr>
      <w:ind w:firstLine="420" w:firstLineChars="200"/>
    </w:pPr>
    <w:rPr>
      <w:rFonts w:ascii="Calibri" w:hAnsi="Calibri"/>
    </w:rPr>
  </w:style>
  <w:style w:type="paragraph" w:styleId="4">
    <w:name w:val="annotation text"/>
    <w:basedOn w:val="1"/>
    <w:qFormat/>
    <w:uiPriority w:val="0"/>
  </w:style>
  <w:style w:type="paragraph" w:styleId="5">
    <w:name w:val="Body Text"/>
    <w:basedOn w:val="1"/>
    <w:qFormat/>
    <w:uiPriority w:val="1"/>
    <w:pPr>
      <w:ind w:left="220"/>
    </w:pPr>
    <w:rPr>
      <w:sz w:val="32"/>
      <w:szCs w:val="32"/>
    </w:rPr>
  </w:style>
  <w:style w:type="paragraph" w:styleId="6">
    <w:name w:val="Balloon Text"/>
    <w:basedOn w:val="1"/>
    <w:link w:val="16"/>
    <w:qFormat/>
    <w:uiPriority w:val="0"/>
    <w:rPr>
      <w:sz w:val="18"/>
      <w:szCs w:val="18"/>
    </w:rPr>
  </w:style>
  <w:style w:type="paragraph" w:styleId="7">
    <w:name w:val="footer"/>
    <w:basedOn w:val="1"/>
    <w:link w:val="15"/>
    <w:qFormat/>
    <w:uiPriority w:val="0"/>
    <w:pPr>
      <w:tabs>
        <w:tab w:val="center" w:pos="4153"/>
        <w:tab w:val="right" w:pos="8306"/>
      </w:tabs>
      <w:snapToGrid w:val="0"/>
    </w:pPr>
    <w:rPr>
      <w:sz w:val="18"/>
      <w:szCs w:val="18"/>
    </w:rPr>
  </w:style>
  <w:style w:type="paragraph" w:styleId="8">
    <w:name w:val="header"/>
    <w:basedOn w:val="1"/>
    <w:link w:val="14"/>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rPr>
      <w:sz w:val="24"/>
    </w:rPr>
  </w:style>
  <w:style w:type="character" w:styleId="12">
    <w:name w:val="Hyperlink"/>
    <w:basedOn w:val="11"/>
    <w:qFormat/>
    <w:uiPriority w:val="0"/>
    <w:rPr>
      <w:color w:val="0000FF"/>
      <w:u w:val="single"/>
    </w:rPr>
  </w:style>
  <w:style w:type="paragraph" w:customStyle="1" w:styleId="13">
    <w:name w:val="Table Paragraph"/>
    <w:basedOn w:val="1"/>
    <w:qFormat/>
    <w:uiPriority w:val="1"/>
  </w:style>
  <w:style w:type="character" w:customStyle="1" w:styleId="14">
    <w:name w:val="页眉 Char"/>
    <w:basedOn w:val="11"/>
    <w:link w:val="8"/>
    <w:qFormat/>
    <w:uiPriority w:val="99"/>
    <w:rPr>
      <w:rFonts w:ascii="仿宋" w:hAnsi="仿宋" w:eastAsia="仿宋" w:cs="仿宋"/>
      <w:sz w:val="18"/>
      <w:szCs w:val="18"/>
      <w:lang w:val="zh-CN" w:bidi="zh-CN"/>
    </w:rPr>
  </w:style>
  <w:style w:type="character" w:customStyle="1" w:styleId="15">
    <w:name w:val="页脚 Char"/>
    <w:basedOn w:val="11"/>
    <w:link w:val="7"/>
    <w:qFormat/>
    <w:uiPriority w:val="0"/>
    <w:rPr>
      <w:rFonts w:ascii="仿宋" w:hAnsi="仿宋" w:eastAsia="仿宋" w:cs="仿宋"/>
      <w:sz w:val="18"/>
      <w:szCs w:val="18"/>
      <w:lang w:val="zh-CN" w:bidi="zh-CN"/>
    </w:rPr>
  </w:style>
  <w:style w:type="character" w:customStyle="1" w:styleId="16">
    <w:name w:val="批注框文本 Char"/>
    <w:basedOn w:val="11"/>
    <w:link w:val="6"/>
    <w:qFormat/>
    <w:uiPriority w:val="0"/>
    <w:rPr>
      <w:rFonts w:ascii="仿宋" w:hAnsi="仿宋" w:eastAsia="仿宋" w:cs="仿宋"/>
      <w:sz w:val="18"/>
      <w:szCs w:val="18"/>
      <w:lang w:val="zh-CN" w:bidi="zh-CN"/>
    </w:rPr>
  </w:style>
  <w:style w:type="paragraph" w:customStyle="1" w:styleId="17">
    <w:name w:val="修订1"/>
    <w:hidden/>
    <w:semiHidden/>
    <w:qFormat/>
    <w:uiPriority w:val="99"/>
    <w:rPr>
      <w:rFonts w:ascii="仿宋" w:hAnsi="仿宋" w:eastAsia="仿宋" w:cs="仿宋"/>
      <w:sz w:val="22"/>
      <w:szCs w:val="22"/>
      <w:lang w:val="zh-CN" w:eastAsia="zh-CN" w:bidi="zh-CN"/>
    </w:rPr>
  </w:style>
  <w:style w:type="paragraph" w:customStyle="1" w:styleId="18">
    <w:name w:val="修订2"/>
    <w:hidden/>
    <w:semiHidden/>
    <w:qFormat/>
    <w:uiPriority w:val="99"/>
    <w:rPr>
      <w:rFonts w:ascii="仿宋" w:hAnsi="仿宋" w:eastAsia="仿宋" w:cs="仿宋"/>
      <w:sz w:val="22"/>
      <w:szCs w:val="22"/>
      <w:lang w:val="zh-CN" w:eastAsia="zh-CN" w:bidi="zh-CN"/>
    </w:rPr>
  </w:style>
  <w:style w:type="paragraph" w:customStyle="1" w:styleId="19">
    <w:name w:val="修订3"/>
    <w:hidden/>
    <w:unhideWhenUsed/>
    <w:qFormat/>
    <w:uiPriority w:val="99"/>
    <w:rPr>
      <w:rFonts w:ascii="仿宋" w:hAnsi="仿宋" w:eastAsia="仿宋" w:cs="仿宋"/>
      <w:sz w:val="22"/>
      <w:szCs w:val="22"/>
      <w:lang w:val="zh-CN" w:eastAsia="zh-CN" w:bidi="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3</Pages>
  <Words>2755</Words>
  <Characters>3013</Characters>
  <Lines>23</Lines>
  <Paragraphs>6</Paragraphs>
  <TotalTime>38</TotalTime>
  <ScaleCrop>false</ScaleCrop>
  <LinksUpToDate>false</LinksUpToDate>
  <CharactersWithSpaces>3094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2025-11-19T08:25:00Z</dcterms:created>
  <dc:creator>jie.huang</dc:creator>
  <cp:lastModifiedBy>瓶子</cp:lastModifiedBy>
  <cp:lastPrinted>2025-08-29T06:34:00Z</cp:lastPrinted>
  <dcterms:modified xsi:type="dcterms:W3CDTF">2026-04-27T11:44:18Z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2DF590A2C87E445DB5DC1749448B541A_13</vt:lpwstr>
  </property>
  <property fmtid="{D5CDD505-2E9C-101B-9397-08002B2CF9AE}" pid="4" name="KSOTemplateDocerSaveRecord">
    <vt:lpwstr>eyJoZGlkIjoiYjAzYWJlZjVmY2E1Zjg2ZTU1Y2E2OTQ4YmNlODA1ZjAiLCJ1c2VySWQiOiIzMDAyNjI5NDcifQ==</vt:lpwstr>
  </property>
</Properties>
</file>