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Times New Roman" w:hAnsi="Times New Roman" w:eastAsia="华文楷体"/>
          <w:b/>
          <w:bCs/>
          <w:iCs/>
          <w:color w:val="000000"/>
          <w:sz w:val="24"/>
          <w:lang w:val="en-US" w:eastAsia="zh-CN"/>
        </w:rPr>
      </w:pPr>
      <w:r>
        <w:rPr>
          <w:rFonts w:ascii="Times New Roman" w:hAnsi="Times New Roman" w:eastAsia="华文楷体"/>
          <w:bCs/>
          <w:iCs/>
          <w:color w:val="000000"/>
          <w:sz w:val="24"/>
        </w:rPr>
        <w:t>证券代码：</w:t>
      </w:r>
      <w:r>
        <w:rPr>
          <w:rFonts w:hint="eastAsia" w:ascii="Times New Roman" w:hAnsi="Times New Roman" w:eastAsia="华文楷体"/>
          <w:bCs/>
          <w:iCs/>
          <w:color w:val="000000"/>
          <w:sz w:val="24"/>
          <w:lang w:val="en-US" w:eastAsia="zh-CN"/>
        </w:rPr>
        <w:t>603092</w:t>
      </w:r>
      <w:r>
        <w:rPr>
          <w:rFonts w:ascii="Times New Roman" w:hAnsi="Times New Roman" w:eastAsia="华文楷体"/>
          <w:bCs/>
          <w:iCs/>
          <w:color w:val="000000"/>
          <w:sz w:val="24"/>
        </w:rPr>
        <w:t xml:space="preserve">    </w:t>
      </w:r>
      <w:r>
        <w:rPr>
          <w:rFonts w:hint="eastAsia" w:ascii="Times New Roman" w:hAnsi="Times New Roman" w:eastAsia="华文楷体"/>
          <w:bCs/>
          <w:iCs/>
          <w:color w:val="000000"/>
          <w:sz w:val="24"/>
          <w:lang w:val="en-US" w:eastAsia="zh-CN"/>
        </w:rPr>
        <w:t xml:space="preserve">               </w:t>
      </w:r>
      <w:r>
        <w:rPr>
          <w:rFonts w:ascii="Times New Roman" w:hAnsi="Times New Roman" w:eastAsia="华文楷体"/>
          <w:bCs/>
          <w:iCs/>
          <w:color w:val="000000"/>
          <w:sz w:val="24"/>
        </w:rPr>
        <w:t xml:space="preserve"> </w:t>
      </w:r>
      <w:r>
        <w:rPr>
          <w:rFonts w:hint="eastAsia" w:ascii="Times New Roman" w:hAnsi="Times New Roman" w:eastAsia="华文楷体"/>
          <w:bCs/>
          <w:iCs/>
          <w:color w:val="000000"/>
          <w:sz w:val="24"/>
          <w:lang w:val="en-US" w:eastAsia="zh-CN"/>
        </w:rPr>
        <w:t xml:space="preserve"> </w:t>
      </w:r>
      <w:r>
        <w:rPr>
          <w:rFonts w:ascii="Times New Roman" w:hAnsi="Times New Roman" w:eastAsia="华文楷体"/>
          <w:bCs/>
          <w:iCs/>
          <w:color w:val="000000"/>
          <w:sz w:val="24"/>
        </w:rPr>
        <w:t xml:space="preserve">                证券简称：</w:t>
      </w:r>
      <w:r>
        <w:rPr>
          <w:rFonts w:hint="eastAsia" w:ascii="Times New Roman" w:hAnsi="Times New Roman" w:eastAsia="华文楷体"/>
          <w:bCs/>
          <w:iCs/>
          <w:color w:val="000000"/>
          <w:sz w:val="24"/>
          <w:lang w:val="en-US" w:eastAsia="zh-CN"/>
        </w:rPr>
        <w:t>德力佳</w:t>
      </w:r>
    </w:p>
    <w:p>
      <w:pPr>
        <w:ind w:firstLine="482"/>
        <w:jc w:val="center"/>
        <w:rPr>
          <w:rFonts w:ascii="Times New Roman" w:hAnsi="Times New Roman" w:eastAsia="华文楷体"/>
          <w:b/>
          <w:bCs/>
          <w:iCs/>
          <w:color w:val="000000"/>
          <w:sz w:val="24"/>
        </w:rPr>
      </w:pPr>
    </w:p>
    <w:p>
      <w:pPr>
        <w:ind w:firstLine="482"/>
        <w:jc w:val="center"/>
        <w:rPr>
          <w:rFonts w:ascii="Times New Roman" w:hAnsi="Times New Roman" w:eastAsia="华文楷体"/>
          <w:b/>
          <w:bCs/>
          <w:iCs/>
          <w:color w:val="000000"/>
          <w:sz w:val="32"/>
        </w:rPr>
      </w:pPr>
      <w:r>
        <w:rPr>
          <w:rFonts w:hint="eastAsia" w:ascii="Times New Roman" w:hAnsi="Times New Roman" w:eastAsia="华文楷体"/>
          <w:b/>
          <w:bCs/>
          <w:iCs/>
          <w:color w:val="000000"/>
          <w:sz w:val="32"/>
          <w:lang w:val="en-US" w:eastAsia="zh-CN"/>
        </w:rPr>
        <w:t>德力佳传动科技（江苏）</w:t>
      </w:r>
      <w:r>
        <w:rPr>
          <w:rFonts w:ascii="Times New Roman" w:hAnsi="Times New Roman" w:eastAsia="华文楷体"/>
          <w:b/>
          <w:bCs/>
          <w:iCs/>
          <w:color w:val="000000"/>
          <w:sz w:val="32"/>
        </w:rPr>
        <w:t>股份有限公司</w:t>
      </w:r>
    </w:p>
    <w:p>
      <w:pPr>
        <w:ind w:firstLine="482"/>
        <w:jc w:val="center"/>
        <w:rPr>
          <w:rFonts w:ascii="Times New Roman" w:hAnsi="Times New Roman" w:eastAsia="华文楷体"/>
          <w:b/>
          <w:bCs/>
          <w:iCs/>
          <w:color w:val="000000"/>
          <w:sz w:val="32"/>
        </w:rPr>
      </w:pPr>
      <w:r>
        <w:rPr>
          <w:rFonts w:ascii="Times New Roman" w:hAnsi="Times New Roman" w:eastAsia="华文楷体"/>
          <w:b/>
          <w:bCs/>
          <w:iCs/>
          <w:color w:val="000000"/>
          <w:sz w:val="32"/>
        </w:rPr>
        <w:t>投资者关系活动记录表</w:t>
      </w:r>
    </w:p>
    <w:p>
      <w:pPr>
        <w:spacing w:line="400" w:lineRule="exact"/>
        <w:ind w:firstLine="480"/>
        <w:rPr>
          <w:rFonts w:hint="default" w:ascii="Times New Roman" w:hAnsi="Times New Roman" w:eastAsia="华文楷体"/>
          <w:bCs/>
          <w:iCs/>
          <w:color w:val="000000"/>
          <w:sz w:val="24"/>
          <w:lang w:val="en-US" w:eastAsia="zh-CN"/>
        </w:rPr>
      </w:pPr>
      <w:r>
        <w:rPr>
          <w:rFonts w:ascii="Times New Roman" w:hAnsi="Times New Roman" w:eastAsia="华文楷体"/>
          <w:bCs/>
          <w:iCs/>
          <w:color w:val="000000"/>
          <w:sz w:val="24"/>
        </w:rPr>
        <w:t xml:space="preserve">                                                    编号：</w:t>
      </w:r>
      <w:r>
        <w:rPr>
          <w:rFonts w:hint="eastAsia" w:ascii="Times New Roman" w:hAnsi="Times New Roman" w:eastAsia="华文楷体"/>
          <w:bCs/>
          <w:iCs/>
          <w:color w:val="000000"/>
          <w:sz w:val="24"/>
          <w:lang w:val="en-US" w:eastAsia="zh-CN"/>
        </w:rPr>
        <w:t>2026-002</w:t>
      </w:r>
    </w:p>
    <w:tbl>
      <w:tblPr>
        <w:tblStyle w:val="10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661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ascii="Times New Roman" w:hAnsi="Times New Roman" w:eastAsia="华文楷体"/>
                <w:bCs/>
                <w:iCs/>
                <w:color w:val="000000"/>
                <w:sz w:val="24"/>
              </w:rPr>
            </w:pPr>
            <w:r>
              <w:rPr>
                <w:rFonts w:ascii="Times New Roman" w:hAnsi="Times New Roman" w:eastAsia="华文楷体"/>
                <w:bCs/>
                <w:iCs/>
                <w:color w:val="000000"/>
                <w:sz w:val="24"/>
              </w:rPr>
              <w:t>投资者关系活动类别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ascii="Times New Roman" w:hAnsi="Times New Roman" w:eastAsia="华文楷体"/>
                <w:bCs/>
                <w:iCs/>
                <w:color w:val="000000"/>
                <w:sz w:val="24"/>
              </w:rPr>
            </w:pPr>
          </w:p>
        </w:tc>
        <w:tc>
          <w:tcPr>
            <w:tcW w:w="6614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textAlignment w:val="auto"/>
              <w:rPr>
                <w:rFonts w:ascii="Times New Roman" w:hAnsi="Times New Roman" w:eastAsia="华文楷体"/>
                <w:bCs/>
                <w:iCs/>
                <w:color w:val="000000"/>
                <w:sz w:val="24"/>
              </w:rPr>
            </w:pPr>
            <w:r>
              <w:rPr>
                <w:rFonts w:hint="eastAsia" w:ascii="Times New Roman" w:hAnsi="Times New Roman" w:eastAsia="华文楷体"/>
                <w:bCs/>
                <w:iCs/>
                <w:color w:val="000000"/>
                <w:sz w:val="24"/>
                <w:lang w:eastAsia="zh-CN"/>
              </w:rPr>
              <w:t>☑</w:t>
            </w:r>
            <w:r>
              <w:rPr>
                <w:rFonts w:ascii="Times New Roman" w:hAnsi="Times New Roman" w:eastAsia="华文楷体"/>
                <w:sz w:val="24"/>
              </w:rPr>
              <w:t xml:space="preserve">特定对象调研        </w:t>
            </w:r>
            <w:r>
              <w:rPr>
                <w:rFonts w:hint="eastAsia" w:ascii="Times New Roman" w:hAnsi="Times New Roman" w:eastAsia="华文楷体"/>
                <w:bCs/>
                <w:iCs/>
                <w:color w:val="000000"/>
                <w:sz w:val="24"/>
                <w:lang w:eastAsia="zh-CN"/>
              </w:rPr>
              <w:t>☑</w:t>
            </w:r>
            <w:r>
              <w:rPr>
                <w:rFonts w:ascii="Times New Roman" w:hAnsi="Times New Roman" w:eastAsia="华文楷体"/>
                <w:sz w:val="24"/>
              </w:rPr>
              <w:t>分析师会议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ascii="Times New Roman" w:hAnsi="Times New Roman" w:eastAsia="华文楷体"/>
                <w:bCs/>
                <w:iCs/>
                <w:color w:val="000000"/>
                <w:sz w:val="24"/>
              </w:rPr>
            </w:pPr>
            <w:r>
              <w:rPr>
                <w:rFonts w:ascii="Times New Roman" w:hAnsi="Times New Roman" w:eastAsia="华文楷体"/>
                <w:bCs/>
                <w:iCs/>
                <w:color w:val="000000"/>
                <w:sz w:val="24"/>
              </w:rPr>
              <w:t>□</w:t>
            </w:r>
            <w:r>
              <w:rPr>
                <w:rFonts w:ascii="Times New Roman" w:hAnsi="Times New Roman" w:eastAsia="华文楷体"/>
                <w:sz w:val="24"/>
              </w:rPr>
              <w:t xml:space="preserve">媒体采访            </w:t>
            </w:r>
            <w:r>
              <w:rPr>
                <w:rFonts w:ascii="Times New Roman" w:hAnsi="Times New Roman" w:eastAsia="华文楷体"/>
                <w:bCs/>
                <w:iCs/>
                <w:color w:val="000000"/>
                <w:sz w:val="24"/>
              </w:rPr>
              <w:t>□</w:t>
            </w:r>
            <w:r>
              <w:rPr>
                <w:rFonts w:ascii="Times New Roman" w:hAnsi="Times New Roman" w:eastAsia="华文楷体"/>
                <w:sz w:val="24"/>
              </w:rPr>
              <w:t>业绩说明会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ascii="Times New Roman" w:hAnsi="Times New Roman" w:eastAsia="华文楷体"/>
                <w:bCs/>
                <w:iCs/>
                <w:color w:val="000000"/>
                <w:sz w:val="24"/>
              </w:rPr>
            </w:pPr>
            <w:r>
              <w:rPr>
                <w:rFonts w:ascii="Times New Roman" w:hAnsi="Times New Roman" w:eastAsia="华文楷体"/>
                <w:bCs/>
                <w:iCs/>
                <w:color w:val="000000"/>
                <w:sz w:val="24"/>
              </w:rPr>
              <w:t>□</w:t>
            </w:r>
            <w:r>
              <w:rPr>
                <w:rFonts w:ascii="Times New Roman" w:hAnsi="Times New Roman" w:eastAsia="华文楷体"/>
                <w:sz w:val="24"/>
              </w:rPr>
              <w:t xml:space="preserve">新闻发布会          </w:t>
            </w:r>
            <w:r>
              <w:rPr>
                <w:rFonts w:ascii="Times New Roman" w:hAnsi="Times New Roman" w:eastAsia="华文楷体"/>
                <w:bCs/>
                <w:iCs/>
                <w:color w:val="000000"/>
                <w:sz w:val="24"/>
              </w:rPr>
              <w:t>□</w:t>
            </w:r>
            <w:r>
              <w:rPr>
                <w:rFonts w:ascii="Times New Roman" w:hAnsi="Times New Roman" w:eastAsia="华文楷体"/>
                <w:sz w:val="24"/>
              </w:rPr>
              <w:t>路演活动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045"/>
                <w:tab w:val="center" w:pos="319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ascii="Times New Roman" w:hAnsi="Times New Roman" w:eastAsia="华文楷体"/>
                <w:bCs/>
                <w:iCs/>
                <w:color w:val="000000"/>
                <w:sz w:val="24"/>
              </w:rPr>
            </w:pPr>
            <w:r>
              <w:rPr>
                <w:rFonts w:hint="eastAsia" w:ascii="Times New Roman" w:hAnsi="Times New Roman" w:eastAsia="华文楷体"/>
                <w:bCs/>
                <w:iCs/>
                <w:color w:val="000000"/>
                <w:sz w:val="24"/>
                <w:lang w:eastAsia="zh-CN"/>
              </w:rPr>
              <w:t>☑</w:t>
            </w:r>
            <w:r>
              <w:rPr>
                <w:rFonts w:ascii="Times New Roman" w:hAnsi="Times New Roman" w:eastAsia="华文楷体"/>
                <w:sz w:val="24"/>
              </w:rPr>
              <w:t>现场参观</w:t>
            </w:r>
            <w:r>
              <w:rPr>
                <w:rFonts w:ascii="Times New Roman" w:hAnsi="Times New Roman" w:eastAsia="华文楷体"/>
                <w:bCs/>
                <w:iCs/>
                <w:color w:val="000000"/>
                <w:sz w:val="24"/>
              </w:rPr>
              <w:tab/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319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ascii="Times New Roman" w:hAnsi="Times New Roman" w:eastAsia="华文楷体"/>
                <w:bCs/>
                <w:iCs/>
                <w:color w:val="000000"/>
                <w:sz w:val="24"/>
              </w:rPr>
            </w:pPr>
            <w:r>
              <w:rPr>
                <w:rFonts w:ascii="Times New Roman" w:hAnsi="Times New Roman" w:eastAsia="华文楷体"/>
                <w:bCs/>
                <w:iCs/>
                <w:color w:val="000000"/>
                <w:sz w:val="24"/>
              </w:rPr>
              <w:t>□</w:t>
            </w:r>
            <w:r>
              <w:rPr>
                <w:rFonts w:ascii="Times New Roman" w:hAnsi="Times New Roman" w:eastAsia="华文楷体"/>
                <w:sz w:val="24"/>
              </w:rPr>
              <w:t>其他 （</w:t>
            </w:r>
            <w:r>
              <w:rPr>
                <w:rFonts w:ascii="Times New Roman" w:hAnsi="Times New Roman" w:eastAsia="华文楷体"/>
                <w:sz w:val="24"/>
                <w:u w:val="single"/>
              </w:rPr>
              <w:t>请文字说明其他活动内容）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ascii="Times New Roman" w:hAnsi="Times New Roman" w:eastAsia="华文楷体"/>
                <w:bCs/>
                <w:iCs/>
                <w:color w:val="000000"/>
                <w:sz w:val="24"/>
              </w:rPr>
            </w:pPr>
            <w:r>
              <w:rPr>
                <w:rFonts w:ascii="Times New Roman" w:hAnsi="Times New Roman" w:eastAsia="华文楷体"/>
                <w:bCs/>
                <w:iCs/>
                <w:color w:val="000000"/>
                <w:sz w:val="24"/>
              </w:rPr>
              <w:t>参与单位名称及人员姓名</w:t>
            </w:r>
          </w:p>
        </w:tc>
        <w:tc>
          <w:tcPr>
            <w:tcW w:w="6614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textAlignment w:val="auto"/>
              <w:rPr>
                <w:rFonts w:hint="eastAsia" w:ascii="Times New Roman" w:hAnsi="Times New Roman" w:eastAsia="华文楷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华文楷体"/>
                <w:bCs/>
                <w:iCs/>
                <w:color w:val="000000"/>
                <w:sz w:val="24"/>
                <w:highlight w:val="none"/>
                <w:lang w:val="en-US" w:eastAsia="zh-CN"/>
              </w:rPr>
              <w:t>天风证券、广发基金、财通资管、光大理财、西部证券、长江证券、光证资管、爱建证券资管、宁银理财、磐厚动量、国信证券、华安基金、新华基金、华泰证券、长城证券、国泰基金、东吴证券、长江资管、准星私募、财通证券、易方达基金、国信证券资管、景领投资、长江证券资管、运舟投资、PinPoint Fund、申万宏源研究、中泰证券、华福证券、大成基金、国联民生、国海证券、华创证券、兴证全球基金 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jc w:val="both"/>
              <w:textAlignment w:val="auto"/>
              <w:rPr>
                <w:rFonts w:ascii="Times New Roman" w:hAnsi="Times New Roman" w:eastAsia="华文楷体"/>
                <w:bCs/>
                <w:iCs/>
                <w:color w:val="000000"/>
                <w:sz w:val="24"/>
              </w:rPr>
            </w:pPr>
            <w:r>
              <w:rPr>
                <w:rFonts w:ascii="Times New Roman" w:hAnsi="Times New Roman" w:eastAsia="华文楷体"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6614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textAlignment w:val="auto"/>
              <w:rPr>
                <w:rFonts w:hint="default" w:ascii="Times New Roman" w:hAnsi="Times New Roman" w:eastAsia="华文楷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华文楷体"/>
                <w:bCs/>
                <w:iCs/>
                <w:color w:val="000000"/>
                <w:sz w:val="24"/>
                <w:lang w:val="en-US" w:eastAsia="zh-CN"/>
              </w:rPr>
              <w:t>2026年4月27日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jc w:val="both"/>
              <w:textAlignment w:val="auto"/>
              <w:rPr>
                <w:rFonts w:ascii="Times New Roman" w:hAnsi="Times New Roman" w:eastAsia="华文楷体"/>
                <w:bCs/>
                <w:iCs/>
                <w:color w:val="000000"/>
                <w:sz w:val="24"/>
              </w:rPr>
            </w:pPr>
            <w:r>
              <w:rPr>
                <w:rFonts w:ascii="Times New Roman" w:hAnsi="Times New Roman" w:eastAsia="华文楷体"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6614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textAlignment w:val="auto"/>
              <w:rPr>
                <w:rFonts w:hint="default" w:ascii="Times New Roman" w:hAnsi="Times New Roman" w:eastAsia="华文楷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华文楷体"/>
                <w:bCs/>
                <w:iCs/>
                <w:color w:val="000000"/>
                <w:sz w:val="24"/>
                <w:lang w:val="en-US" w:eastAsia="zh-CN"/>
              </w:rPr>
              <w:t>德力佳传动科技（江苏）股份有限公司会议室、厂区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ascii="Times New Roman" w:hAnsi="Times New Roman" w:eastAsia="华文楷体"/>
                <w:bCs/>
                <w:iCs/>
                <w:color w:val="000000"/>
                <w:sz w:val="24"/>
              </w:rPr>
            </w:pPr>
            <w:r>
              <w:rPr>
                <w:rFonts w:ascii="Times New Roman" w:hAnsi="Times New Roman" w:eastAsia="华文楷体"/>
                <w:bCs/>
                <w:iCs/>
                <w:color w:val="000000"/>
                <w:sz w:val="24"/>
              </w:rPr>
              <w:t>上市公司接待人员姓名</w:t>
            </w:r>
          </w:p>
        </w:tc>
        <w:tc>
          <w:tcPr>
            <w:tcW w:w="6614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textAlignment w:val="auto"/>
              <w:rPr>
                <w:rFonts w:hint="eastAsia" w:ascii="Times New Roman" w:hAnsi="Times New Roman" w:eastAsia="华文楷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华文楷体"/>
                <w:bCs/>
                <w:iCs/>
                <w:color w:val="000000"/>
                <w:sz w:val="24"/>
                <w:lang w:val="en-US" w:eastAsia="zh-CN"/>
              </w:rPr>
              <w:t>董事长、总经理：刘建国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360" w:lineRule="auto"/>
              <w:textAlignment w:val="auto"/>
              <w:rPr>
                <w:rFonts w:hint="eastAsia" w:ascii="Times New Roman" w:hAnsi="Times New Roman" w:eastAsia="华文楷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华文楷体"/>
                <w:bCs/>
                <w:iCs/>
                <w:color w:val="000000"/>
                <w:sz w:val="24"/>
                <w:lang w:val="en-US" w:eastAsia="zh-CN"/>
              </w:rPr>
              <w:t>董事、副总经理、董事会秘书：孔金凤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Times New Roman" w:hAnsi="Times New Roman" w:eastAsia="华文楷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华文楷体"/>
                <w:bCs/>
                <w:iCs/>
                <w:color w:val="000000"/>
                <w:sz w:val="24"/>
                <w:lang w:val="en-US" w:eastAsia="zh-CN"/>
              </w:rPr>
              <w:t>财务总监：李常平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default" w:ascii="Times New Roman" w:hAnsi="Times New Roman" w:eastAsia="华文楷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华文楷体"/>
                <w:bCs/>
                <w:iCs/>
                <w:color w:val="000000"/>
                <w:sz w:val="24"/>
                <w:lang w:val="en-US" w:eastAsia="zh-CN"/>
              </w:rPr>
              <w:t>证券事务代表：朱灵芝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ascii="Times New Roman" w:hAnsi="Times New Roman" w:eastAsia="华文楷体"/>
                <w:bCs/>
                <w:iCs/>
                <w:color w:val="000000"/>
                <w:sz w:val="24"/>
              </w:rPr>
            </w:pPr>
            <w:r>
              <w:rPr>
                <w:rFonts w:ascii="Times New Roman" w:hAnsi="Times New Roman" w:eastAsia="华文楷体"/>
                <w:bCs/>
                <w:iCs/>
                <w:color w:val="000000"/>
                <w:sz w:val="24"/>
              </w:rPr>
              <w:t>投资者关系活动主要内容介绍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ascii="Times New Roman" w:hAnsi="Times New Roman" w:eastAsia="华文楷体"/>
                <w:bCs/>
                <w:iCs/>
                <w:color w:val="000000"/>
                <w:sz w:val="24"/>
              </w:rPr>
            </w:pPr>
          </w:p>
        </w:tc>
        <w:tc>
          <w:tcPr>
            <w:tcW w:w="6614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360" w:lineRule="auto"/>
              <w:textAlignment w:val="auto"/>
              <w:rPr>
                <w:rFonts w:hint="default" w:ascii="Times New Roman" w:hAnsi="Times New Roman" w:eastAsia="华文楷体"/>
                <w:bCs/>
                <w:iCs/>
                <w:color w:val="000000"/>
                <w:sz w:val="24"/>
                <w:highlight w:val="none"/>
                <w:lang w:val="en-US" w:eastAsia="zh-CN"/>
              </w:rPr>
            </w:pPr>
            <w:bookmarkStart w:id="0" w:name="OLE_LINK6"/>
            <w:bookmarkStart w:id="1" w:name="OLE_LINK1"/>
            <w:r>
              <w:rPr>
                <w:rFonts w:hint="eastAsia" w:ascii="Times New Roman" w:hAnsi="Times New Roman" w:eastAsia="华文楷体"/>
                <w:bCs/>
                <w:iCs/>
                <w:color w:val="000000"/>
                <w:sz w:val="24"/>
                <w:highlight w:val="none"/>
                <w:lang w:val="en-US" w:eastAsia="zh-CN"/>
              </w:rPr>
              <w:t>董事会秘书对公司基本情况、2025年度经营情况及2026年第一季度经营情况进行了简要介绍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360" w:lineRule="auto"/>
              <w:textAlignment w:val="auto"/>
              <w:rPr>
                <w:rFonts w:hint="default" w:ascii="Times New Roman" w:hAnsi="Times New Roman" w:eastAsia="华文楷体"/>
                <w:bCs/>
                <w:iCs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华文楷体"/>
                <w:bCs/>
                <w:iCs/>
                <w:color w:val="000000"/>
                <w:sz w:val="24"/>
                <w:highlight w:val="none"/>
                <w:lang w:val="en-US" w:eastAsia="zh-CN"/>
              </w:rPr>
              <w:t>回答投资者提问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157" w:afterLines="50" w:line="360" w:lineRule="auto"/>
              <w:textAlignment w:val="auto"/>
              <w:rPr>
                <w:rFonts w:hint="eastAsia" w:ascii="Times New Roman" w:hAnsi="Times New Roman" w:eastAsia="华文楷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华文楷体"/>
                <w:b/>
                <w:bCs w:val="0"/>
                <w:iCs/>
                <w:color w:val="000000"/>
                <w:sz w:val="24"/>
                <w:lang w:val="en-US" w:eastAsia="zh-CN"/>
              </w:rPr>
              <w:t>问题1：</w:t>
            </w:r>
            <w:bookmarkEnd w:id="0"/>
            <w:bookmarkEnd w:id="1"/>
            <w:bookmarkStart w:id="2" w:name="OLE_LINK7"/>
            <w:bookmarkStart w:id="3" w:name="OLE_LINK8"/>
            <w:r>
              <w:rPr>
                <w:rFonts w:hint="eastAsia" w:ascii="Times New Roman" w:hAnsi="Times New Roman" w:eastAsia="华文楷体"/>
                <w:b/>
                <w:iCs/>
                <w:color w:val="000000"/>
                <w:sz w:val="24"/>
              </w:rPr>
              <w:t>请公司介绍一下目前整体产能建设情况以及后续的产能扩张规划？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157" w:afterLines="50" w:line="360" w:lineRule="auto"/>
              <w:textAlignment w:val="auto"/>
              <w:rPr>
                <w:rFonts w:hint="default" w:ascii="Times New Roman" w:hAnsi="Times New Roman" w:eastAsia="华文楷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华文楷体"/>
                <w:bCs/>
                <w:iCs/>
                <w:color w:val="000000"/>
                <w:sz w:val="24"/>
                <w:lang w:val="en-US" w:eastAsia="zh-CN"/>
              </w:rPr>
              <w:t>答：</w:t>
            </w:r>
            <w:r>
              <w:rPr>
                <w:rFonts w:hint="default" w:ascii="Times New Roman" w:hAnsi="Times New Roman" w:eastAsia="华文楷体"/>
                <w:bCs/>
                <w:iCs/>
                <w:color w:val="000000"/>
                <w:sz w:val="24"/>
              </w:rPr>
              <w:t>当前市场订单需求充足，</w:t>
            </w:r>
            <w:r>
              <w:rPr>
                <w:rFonts w:hint="eastAsia" w:ascii="Times New Roman" w:hAnsi="Times New Roman" w:eastAsia="华文楷体"/>
                <w:bCs/>
                <w:iCs/>
                <w:color w:val="000000"/>
                <w:sz w:val="24"/>
                <w:lang w:val="en-US" w:eastAsia="zh-CN"/>
              </w:rPr>
              <w:t>产能利用率始终维持较高水平,</w:t>
            </w:r>
            <w:r>
              <w:rPr>
                <w:rFonts w:hint="default" w:ascii="Times New Roman" w:hAnsi="Times New Roman" w:eastAsia="华文楷体"/>
                <w:bCs/>
                <w:iCs/>
                <w:color w:val="000000"/>
                <w:sz w:val="24"/>
              </w:rPr>
              <w:t>公司正稳步推进产能扩张工作，核心聚焦零部件产能扩建，同步完成装配线、测试线的全面升级，有效提升整体生产效率与产品品质。产能项目方面，三期项目按照既定计划稳步建设推进，落地后公司整体产能将实现显著提升。同时，公司已启动四期产能投资规划布局，远期整体产能规模有望</w:t>
            </w:r>
            <w:r>
              <w:rPr>
                <w:rFonts w:hint="eastAsia" w:ascii="Times New Roman" w:hAnsi="Times New Roman" w:eastAsia="华文楷体"/>
                <w:bCs/>
                <w:iCs/>
                <w:color w:val="000000"/>
                <w:sz w:val="24"/>
                <w:lang w:val="en-US" w:eastAsia="zh-CN"/>
              </w:rPr>
              <w:t>进一步突破</w:t>
            </w:r>
            <w:r>
              <w:rPr>
                <w:rFonts w:hint="default" w:ascii="Times New Roman" w:hAnsi="Times New Roman" w:eastAsia="华文楷体"/>
                <w:bCs/>
                <w:iCs/>
                <w:color w:val="000000"/>
                <w:sz w:val="24"/>
              </w:rPr>
              <w:t>，最终投产规模将根据后续行业市场需求变化动态优化调整，保障产能与市场需求精准匹配。</w:t>
            </w:r>
            <w:bookmarkEnd w:id="2"/>
            <w:bookmarkEnd w:id="3"/>
          </w:p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157" w:afterLines="50" w:line="360" w:lineRule="auto"/>
              <w:textAlignment w:val="auto"/>
              <w:rPr>
                <w:rFonts w:hint="default" w:ascii="Times New Roman" w:hAnsi="Times New Roman" w:eastAsia="华文楷体"/>
                <w:bCs/>
                <w:iCs/>
                <w:color w:val="000000"/>
                <w:sz w:val="24"/>
                <w:lang w:val="en-US" w:eastAsia="zh-CN"/>
              </w:rPr>
            </w:pPr>
            <w:bookmarkStart w:id="4" w:name="OLE_LINK16"/>
            <w:bookmarkStart w:id="5" w:name="OLE_LINK9"/>
            <w:r>
              <w:rPr>
                <w:rFonts w:hint="eastAsia" w:ascii="Times New Roman" w:hAnsi="Times New Roman" w:eastAsia="华文楷体"/>
                <w:b/>
                <w:bCs w:val="0"/>
                <w:iCs/>
                <w:color w:val="000000"/>
                <w:sz w:val="24"/>
                <w:lang w:val="en-US" w:eastAsia="zh-CN"/>
              </w:rPr>
              <w:t>问题2：</w:t>
            </w:r>
            <w:r>
              <w:rPr>
                <w:rFonts w:hint="eastAsia" w:ascii="Times New Roman" w:hAnsi="Times New Roman" w:eastAsia="华文楷体"/>
                <w:b/>
                <w:iCs/>
                <w:color w:val="000000"/>
                <w:sz w:val="24"/>
              </w:rPr>
              <w:t>公司在海外市场的布局策略及目前落地进展如何？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157" w:afterLines="50" w:line="360" w:lineRule="auto"/>
              <w:textAlignment w:val="auto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Times New Roman" w:hAnsi="Times New Roman" w:eastAsia="华文楷体"/>
                <w:bCs/>
                <w:iCs/>
                <w:color w:val="000000"/>
                <w:sz w:val="24"/>
                <w:lang w:val="en-US" w:eastAsia="zh-CN"/>
              </w:rPr>
              <w:t>答：</w:t>
            </w:r>
            <w:r>
              <w:rPr>
                <w:rFonts w:hint="eastAsia" w:ascii="Times New Roman" w:hAnsi="Times New Roman" w:eastAsia="华文楷体"/>
                <w:bCs/>
                <w:iCs/>
                <w:color w:val="000000"/>
                <w:sz w:val="24"/>
              </w:rPr>
              <w:t>为优化市场结构、</w:t>
            </w:r>
            <w:r>
              <w:rPr>
                <w:rFonts w:hint="eastAsia" w:ascii="Times New Roman" w:hAnsi="Times New Roman" w:eastAsia="华文楷体"/>
                <w:bCs/>
                <w:iCs/>
                <w:color w:val="000000"/>
                <w:sz w:val="24"/>
                <w:lang w:val="en-US" w:eastAsia="zh-CN"/>
              </w:rPr>
              <w:t>有效化解</w:t>
            </w:r>
            <w:r>
              <w:rPr>
                <w:rFonts w:hint="eastAsia" w:ascii="Times New Roman" w:hAnsi="Times New Roman" w:eastAsia="华文楷体"/>
                <w:bCs/>
                <w:iCs/>
                <w:color w:val="000000"/>
                <w:sz w:val="24"/>
              </w:rPr>
              <w:t>市场经营风险，公司坚持国内外多元化市场发展战略，持续深化与国际优质客户的深度合作。目前公司</w:t>
            </w:r>
            <w:r>
              <w:rPr>
                <w:rFonts w:hint="eastAsia" w:ascii="Times New Roman" w:hAnsi="Times New Roman" w:eastAsia="华文楷体"/>
                <w:bCs/>
                <w:iCs/>
                <w:color w:val="000000"/>
                <w:sz w:val="24"/>
                <w:lang w:val="en-US" w:eastAsia="zh-CN"/>
              </w:rPr>
              <w:t>随整机厂商的间接出口业务稳步扩大，核心产品的直接出口</w:t>
            </w:r>
            <w:r>
              <w:rPr>
                <w:rFonts w:hint="eastAsia" w:ascii="Times New Roman" w:hAnsi="Times New Roman" w:eastAsia="华文楷体"/>
                <w:bCs/>
                <w:iCs/>
                <w:color w:val="000000"/>
                <w:sz w:val="24"/>
              </w:rPr>
              <w:t>业务拓展</w:t>
            </w:r>
            <w:r>
              <w:rPr>
                <w:rFonts w:hint="eastAsia" w:ascii="Times New Roman" w:hAnsi="Times New Roman" w:eastAsia="华文楷体"/>
                <w:bCs/>
                <w:iCs/>
                <w:color w:val="000000"/>
                <w:sz w:val="24"/>
                <w:lang w:val="en-US" w:eastAsia="zh-CN"/>
              </w:rPr>
              <w:t>也</w:t>
            </w:r>
            <w:r>
              <w:rPr>
                <w:rFonts w:hint="eastAsia" w:ascii="Times New Roman" w:hAnsi="Times New Roman" w:eastAsia="华文楷体"/>
                <w:bCs/>
                <w:iCs/>
                <w:color w:val="000000"/>
                <w:sz w:val="24"/>
              </w:rPr>
              <w:t>取得阶段性初步成果，后续将持续推进国际化布局落地。</w:t>
            </w:r>
            <w:bookmarkEnd w:id="4"/>
            <w:bookmarkEnd w:id="5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157" w:afterLines="50" w:line="360" w:lineRule="auto"/>
              <w:textAlignment w:val="auto"/>
              <w:rPr>
                <w:rFonts w:hint="default" w:ascii="Times New Roman" w:hAnsi="Times New Roman" w:eastAsia="华文楷体"/>
                <w:bCs/>
                <w:iCs/>
                <w:color w:val="000000"/>
                <w:sz w:val="24"/>
                <w:lang w:val="en-US" w:eastAsia="zh-CN"/>
              </w:rPr>
            </w:pPr>
            <w:bookmarkStart w:id="6" w:name="OLE_LINK2"/>
            <w:bookmarkStart w:id="7" w:name="OLE_LINK17"/>
            <w:bookmarkStart w:id="8" w:name="OLE_LINK10"/>
            <w:r>
              <w:rPr>
                <w:rFonts w:hint="eastAsia" w:ascii="Times New Roman" w:hAnsi="Times New Roman" w:eastAsia="华文楷体"/>
                <w:b/>
                <w:bCs w:val="0"/>
                <w:iCs/>
                <w:color w:val="000000"/>
                <w:sz w:val="24"/>
                <w:lang w:val="en-US" w:eastAsia="zh-CN"/>
              </w:rPr>
              <w:t>问题3：</w:t>
            </w:r>
            <w:r>
              <w:rPr>
                <w:rFonts w:hint="eastAsia" w:ascii="Times New Roman" w:hAnsi="Times New Roman" w:eastAsia="华文楷体"/>
                <w:b/>
                <w:iCs/>
                <w:color w:val="000000"/>
                <w:sz w:val="24"/>
              </w:rPr>
              <w:t>当前国内外风电市场整体格局如何？公司后续重点布局哪些市场区域？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157" w:afterLines="50" w:line="360" w:lineRule="auto"/>
              <w:textAlignment w:val="auto"/>
              <w:rPr>
                <w:rFonts w:hint="eastAsia" w:ascii="Times New Roman" w:hAnsi="Times New Roman" w:eastAsia="华文楷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华文楷体"/>
                <w:bCs/>
                <w:iCs/>
                <w:color w:val="000000"/>
                <w:sz w:val="24"/>
                <w:lang w:val="en-US" w:eastAsia="zh-CN"/>
              </w:rPr>
              <w:t>答：</w:t>
            </w:r>
            <w:bookmarkEnd w:id="6"/>
            <w:bookmarkEnd w:id="7"/>
            <w:r>
              <w:rPr>
                <w:rFonts w:hint="eastAsia" w:ascii="Times New Roman" w:hAnsi="Times New Roman" w:eastAsia="华文楷体"/>
                <w:bCs/>
                <w:iCs/>
                <w:color w:val="000000"/>
                <w:sz w:val="24"/>
              </w:rPr>
              <w:t>国内风电行业市场竞争整体较为激烈，但全国多区域仍有充足的增量空间。其中北方区域涵盖辽宁丹东、大连、庄河及渤海湾片区，南方以广东、海南为核心，东部沿海的上海、江苏、浙江等地区，均有明确的新增风电项目规划落地。国际风电市场发展潜力巨大，公司海外拓展将重点匹配海外市场技术标准，同时充分把握海外新能源政策红利，抢抓海外市场增量机会。</w:t>
            </w:r>
            <w:bookmarkEnd w:id="8"/>
            <w:r>
              <w:rPr>
                <w:rFonts w:hint="eastAsia" w:ascii="Times New Roman" w:hAnsi="Times New Roman" w:eastAsia="华文楷体"/>
                <w:bCs/>
                <w:iCs/>
                <w:color w:val="000000"/>
                <w:sz w:val="24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157" w:afterLines="50" w:line="360" w:lineRule="auto"/>
              <w:textAlignment w:val="auto"/>
              <w:rPr>
                <w:rFonts w:hint="eastAsia" w:ascii="Times New Roman" w:hAnsi="Times New Roman" w:eastAsia="华文楷体"/>
                <w:b/>
                <w:bCs w:val="0"/>
                <w:iCs/>
                <w:color w:val="000000"/>
                <w:sz w:val="24"/>
                <w:lang w:val="en-US" w:eastAsia="zh-CN"/>
              </w:rPr>
            </w:pPr>
            <w:bookmarkStart w:id="9" w:name="OLE_LINK11"/>
            <w:bookmarkStart w:id="10" w:name="OLE_LINK18"/>
            <w:r>
              <w:rPr>
                <w:rFonts w:hint="eastAsia" w:ascii="Times New Roman" w:hAnsi="Times New Roman" w:eastAsia="华文楷体"/>
                <w:b/>
                <w:bCs w:val="0"/>
                <w:iCs/>
                <w:color w:val="000000"/>
                <w:sz w:val="24"/>
                <w:lang w:val="en-US" w:eastAsia="zh-CN"/>
              </w:rPr>
              <w:t>问题4：</w:t>
            </w:r>
            <w:r>
              <w:rPr>
                <w:rFonts w:hint="default" w:ascii="Times New Roman" w:hAnsi="Times New Roman" w:eastAsia="华文楷体"/>
                <w:b/>
                <w:iCs/>
                <w:color w:val="000000"/>
                <w:sz w:val="24"/>
              </w:rPr>
              <w:t>面对行业激烈竞争，公司的定价策略及盈利维稳措施是什么？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157" w:afterLines="50" w:line="360" w:lineRule="auto"/>
              <w:textAlignment w:val="auto"/>
              <w:rPr>
                <w:rFonts w:hint="default" w:ascii="Times New Roman" w:hAnsi="Times New Roman" w:eastAsia="华文楷体"/>
                <w:b w:val="0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华文楷体"/>
                <w:b w:val="0"/>
                <w:bCs/>
                <w:iCs/>
                <w:color w:val="000000"/>
                <w:sz w:val="24"/>
                <w:lang w:val="en-US" w:eastAsia="zh-CN"/>
              </w:rPr>
              <w:t>答：</w:t>
            </w:r>
            <w:bookmarkEnd w:id="9"/>
            <w:r>
              <w:rPr>
                <w:rFonts w:hint="default" w:ascii="Times New Roman" w:hAnsi="Times New Roman" w:eastAsia="华文楷体"/>
                <w:bCs/>
                <w:iCs/>
                <w:color w:val="000000"/>
                <w:sz w:val="24"/>
              </w:rPr>
              <w:t>公司始终坚持行业理性竞争原则，不会采取主动大幅降价的激进策略。盈利层面，公司核心依托技术创新实现降本增效，通过原材料结构优化、</w:t>
            </w:r>
            <w:r>
              <w:rPr>
                <w:rFonts w:hint="eastAsia" w:ascii="Times New Roman" w:hAnsi="Times New Roman" w:eastAsia="华文楷体"/>
                <w:bCs/>
                <w:iCs/>
                <w:color w:val="000000"/>
                <w:sz w:val="24"/>
                <w:lang w:val="en-US" w:eastAsia="zh-CN"/>
              </w:rPr>
              <w:t>规模效应</w:t>
            </w:r>
            <w:r>
              <w:rPr>
                <w:rFonts w:hint="default" w:ascii="Times New Roman" w:hAnsi="Times New Roman" w:eastAsia="华文楷体"/>
                <w:bCs/>
                <w:iCs/>
                <w:color w:val="000000"/>
                <w:sz w:val="24"/>
              </w:rPr>
              <w:t>、生产工艺迭代改进等方式，持续稳定公司整体毛利率水平。同时，当前大型央企持续加码国内核心海域风电布局，行业竞争维度持续升级，公司将针对性强化产品差异化设计，提升产品方案灵活性，适配不同项目、不同海域的定制化需求，构建核心竞争优势。</w:t>
            </w:r>
            <w:bookmarkEnd w:id="1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157" w:afterLines="50" w:line="360" w:lineRule="auto"/>
              <w:textAlignment w:val="auto"/>
              <w:rPr>
                <w:rFonts w:hint="default" w:ascii="Times New Roman" w:hAnsi="Times New Roman" w:eastAsia="华文楷体"/>
                <w:b/>
                <w:bCs w:val="0"/>
                <w:iCs/>
                <w:color w:val="000000"/>
                <w:sz w:val="24"/>
                <w:lang w:val="en-US" w:eastAsia="zh-CN"/>
              </w:rPr>
            </w:pPr>
            <w:bookmarkStart w:id="11" w:name="OLE_LINK19"/>
            <w:bookmarkStart w:id="12" w:name="OLE_LINK12"/>
            <w:bookmarkStart w:id="13" w:name="OLE_LINK3"/>
            <w:r>
              <w:rPr>
                <w:rFonts w:hint="eastAsia" w:ascii="Times New Roman" w:hAnsi="Times New Roman" w:eastAsia="华文楷体"/>
                <w:b/>
                <w:bCs w:val="0"/>
                <w:iCs/>
                <w:color w:val="000000"/>
                <w:sz w:val="24"/>
                <w:lang w:val="en-US" w:eastAsia="zh-CN"/>
              </w:rPr>
              <w:t>问题5：</w:t>
            </w:r>
            <w:r>
              <w:rPr>
                <w:rFonts w:hint="eastAsia" w:ascii="Times New Roman" w:hAnsi="Times New Roman" w:eastAsia="华文楷体"/>
                <w:b/>
                <w:iCs/>
                <w:color w:val="000000"/>
                <w:sz w:val="24"/>
              </w:rPr>
              <w:t>公司在客户结构优化与客户服务方面有哪些规划？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157" w:afterLines="50" w:line="360" w:lineRule="auto"/>
              <w:textAlignment w:val="auto"/>
              <w:rPr>
                <w:rFonts w:hint="default" w:ascii="Times New Roman" w:hAnsi="Times New Roman" w:eastAsia="华文楷体"/>
                <w:b w:val="0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华文楷体"/>
                <w:b w:val="0"/>
                <w:bCs/>
                <w:iCs/>
                <w:color w:val="000000"/>
                <w:sz w:val="24"/>
                <w:lang w:val="en-US" w:eastAsia="zh-CN"/>
              </w:rPr>
              <w:t>答：</w:t>
            </w:r>
            <w:bookmarkEnd w:id="11"/>
            <w:r>
              <w:rPr>
                <w:rFonts w:hint="eastAsia" w:ascii="Times New Roman" w:hAnsi="Times New Roman" w:eastAsia="华文楷体"/>
                <w:bCs/>
                <w:iCs/>
                <w:color w:val="000000"/>
                <w:sz w:val="24"/>
              </w:rPr>
              <w:t>现阶段公司持续推进客户结构多元化建设，一方面深度稳固与现有核心客户的长期战略合作关系，保障基本业务盘稳定；另一方面持续开拓优质新客户资源，有效降低客户集中度高</w:t>
            </w:r>
            <w:r>
              <w:rPr>
                <w:rFonts w:hint="eastAsia" w:ascii="Times New Roman" w:hAnsi="Times New Roman" w:eastAsia="华文楷体"/>
                <w:bCs/>
                <w:iCs/>
                <w:color w:val="000000"/>
                <w:sz w:val="24"/>
                <w:lang w:val="en-US" w:eastAsia="zh-CN"/>
              </w:rPr>
              <w:t>可能</w:t>
            </w:r>
            <w:r>
              <w:rPr>
                <w:rFonts w:hint="eastAsia" w:ascii="Times New Roman" w:hAnsi="Times New Roman" w:eastAsia="华文楷体"/>
                <w:bCs/>
                <w:iCs/>
                <w:color w:val="000000"/>
                <w:sz w:val="24"/>
              </w:rPr>
              <w:t>带来的经营风险。服务端，公司持续升级售后服务体系，扩充专业售后团队、提升售后响应效率与综合服务质量，通过全周期优质服务，进一步提升客户粘性与品牌认可度。</w:t>
            </w:r>
            <w:bookmarkEnd w:id="12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157" w:afterLines="50" w:line="360" w:lineRule="auto"/>
              <w:textAlignment w:val="auto"/>
              <w:rPr>
                <w:rFonts w:hint="eastAsia" w:ascii="Times New Roman" w:hAnsi="Times New Roman" w:eastAsia="华文楷体"/>
                <w:b/>
                <w:bCs w:val="0"/>
                <w:iCs/>
                <w:color w:val="000000"/>
                <w:sz w:val="24"/>
                <w:lang w:val="en-US" w:eastAsia="zh-CN"/>
              </w:rPr>
            </w:pPr>
            <w:bookmarkStart w:id="14" w:name="OLE_LINK20"/>
            <w:bookmarkStart w:id="15" w:name="OLE_LINK13"/>
            <w:r>
              <w:rPr>
                <w:rFonts w:hint="eastAsia" w:ascii="Times New Roman" w:hAnsi="Times New Roman" w:eastAsia="华文楷体"/>
                <w:b/>
                <w:bCs w:val="0"/>
                <w:iCs/>
                <w:color w:val="000000"/>
                <w:sz w:val="24"/>
                <w:lang w:val="en-US" w:eastAsia="zh-CN"/>
              </w:rPr>
              <w:t>问题6：</w:t>
            </w:r>
            <w:r>
              <w:rPr>
                <w:rFonts w:hint="eastAsia" w:ascii="Times New Roman" w:hAnsi="Times New Roman" w:eastAsia="华文楷体"/>
                <w:b/>
                <w:iCs/>
                <w:color w:val="000000"/>
                <w:sz w:val="24"/>
              </w:rPr>
              <w:t>能否解读一下公司质保金计提比例</w:t>
            </w:r>
            <w:r>
              <w:rPr>
                <w:rFonts w:hint="eastAsia" w:ascii="Times New Roman" w:hAnsi="Times New Roman" w:eastAsia="华文楷体"/>
                <w:b/>
                <w:iCs/>
                <w:color w:val="000000"/>
                <w:sz w:val="24"/>
                <w:lang w:val="en-US" w:eastAsia="zh-CN"/>
              </w:rPr>
              <w:t>的情况</w:t>
            </w:r>
            <w:r>
              <w:rPr>
                <w:rFonts w:hint="eastAsia" w:ascii="Times New Roman" w:hAnsi="Times New Roman" w:eastAsia="华文楷体"/>
                <w:b/>
                <w:iCs/>
                <w:color w:val="000000"/>
                <w:sz w:val="24"/>
              </w:rPr>
              <w:t>，以及后续财务投资管控思路？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157" w:afterLines="50" w:line="360" w:lineRule="auto"/>
              <w:textAlignment w:val="auto"/>
              <w:rPr>
                <w:rFonts w:hint="default" w:ascii="Times New Roman" w:hAnsi="Times New Roman" w:eastAsia="华文楷体"/>
                <w:b w:val="0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华文楷体"/>
                <w:b w:val="0"/>
                <w:bCs/>
                <w:iCs/>
                <w:color w:val="000000"/>
                <w:sz w:val="24"/>
                <w:lang w:val="en-US" w:eastAsia="zh-CN"/>
              </w:rPr>
              <w:t>答：</w:t>
            </w:r>
            <w:bookmarkEnd w:id="14"/>
            <w:r>
              <w:rPr>
                <w:rFonts w:hint="eastAsia" w:ascii="Times New Roman" w:hAnsi="Times New Roman" w:eastAsia="华文楷体"/>
                <w:b w:val="0"/>
                <w:bCs/>
                <w:iCs/>
                <w:color w:val="000000"/>
                <w:sz w:val="24"/>
                <w:lang w:val="en-US" w:eastAsia="zh-CN"/>
              </w:rPr>
              <w:t>公司</w:t>
            </w:r>
            <w:r>
              <w:rPr>
                <w:rFonts w:hint="default" w:ascii="Times New Roman" w:hAnsi="Times New Roman" w:eastAsia="华文楷体"/>
                <w:bCs/>
                <w:iCs/>
                <w:color w:val="000000"/>
                <w:sz w:val="24"/>
              </w:rPr>
              <w:t>质保金计提比例</w:t>
            </w:r>
            <w:r>
              <w:rPr>
                <w:rFonts w:hint="eastAsia" w:ascii="Times New Roman" w:hAnsi="Times New Roman" w:eastAsia="华文楷体"/>
                <w:bCs/>
                <w:iCs/>
                <w:color w:val="000000"/>
                <w:sz w:val="24"/>
                <w:lang w:val="en-US" w:eastAsia="zh-CN"/>
              </w:rPr>
              <w:t>是</w:t>
            </w:r>
            <w:r>
              <w:rPr>
                <w:rFonts w:hint="default" w:ascii="Times New Roman" w:hAnsi="Times New Roman" w:eastAsia="华文楷体"/>
                <w:bCs/>
                <w:iCs/>
                <w:color w:val="000000"/>
                <w:sz w:val="24"/>
              </w:rPr>
              <w:t>贴合行业通用规则</w:t>
            </w:r>
            <w:r>
              <w:rPr>
                <w:rFonts w:hint="eastAsia" w:ascii="Times New Roman" w:hAnsi="Times New Roman" w:eastAsia="华文楷体"/>
                <w:bCs/>
                <w:iCs/>
                <w:color w:val="000000"/>
                <w:sz w:val="24"/>
                <w:lang w:val="en-US" w:eastAsia="zh-CN"/>
              </w:rPr>
              <w:t>并</w:t>
            </w:r>
            <w:r>
              <w:rPr>
                <w:rFonts w:hint="default" w:ascii="Times New Roman" w:hAnsi="Times New Roman" w:eastAsia="华文楷体"/>
                <w:bCs/>
                <w:iCs/>
                <w:color w:val="000000"/>
                <w:sz w:val="24"/>
              </w:rPr>
              <w:t>基于</w:t>
            </w:r>
            <w:r>
              <w:rPr>
                <w:rFonts w:hint="eastAsia" w:ascii="Times New Roman" w:hAnsi="Times New Roman" w:eastAsia="华文楷体"/>
                <w:bCs/>
                <w:iCs/>
                <w:color w:val="000000"/>
                <w:sz w:val="24"/>
                <w:lang w:val="en-US" w:eastAsia="zh-CN"/>
              </w:rPr>
              <w:t>实际</w:t>
            </w:r>
            <w:r>
              <w:rPr>
                <w:rFonts w:hint="default" w:ascii="Times New Roman" w:hAnsi="Times New Roman" w:eastAsia="华文楷体"/>
                <w:bCs/>
                <w:iCs/>
                <w:color w:val="000000"/>
                <w:sz w:val="24"/>
              </w:rPr>
              <w:t>项目结算、产品售后保障等综合因素</w:t>
            </w:r>
            <w:r>
              <w:rPr>
                <w:rFonts w:hint="eastAsia" w:ascii="Times New Roman" w:hAnsi="Times New Roman" w:eastAsia="华文楷体"/>
                <w:bCs/>
                <w:iCs/>
                <w:color w:val="000000"/>
                <w:sz w:val="24"/>
                <w:lang w:val="en-US" w:eastAsia="zh-CN"/>
              </w:rPr>
              <w:t>确定的</w:t>
            </w:r>
            <w:r>
              <w:rPr>
                <w:rFonts w:hint="default" w:ascii="Times New Roman" w:hAnsi="Times New Roman" w:eastAsia="华文楷体"/>
                <w:bCs/>
                <w:iCs/>
                <w:color w:val="000000"/>
                <w:sz w:val="24"/>
              </w:rPr>
              <w:t>。在财务管理层面，公司高度重视经营性现金流的稳定管控，保障公司资金链安全。投资端将秉持审慎稳健原则，对于四期产能扩建等重大投资项目，会执行严格的可行性评估与风险研判，优先保障现有在建、存量项目的资金需求，合理把控整体投资节奏与投资风险。</w:t>
            </w:r>
            <w:bookmarkEnd w:id="13"/>
            <w:bookmarkEnd w:id="15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157" w:afterLines="50" w:line="360" w:lineRule="auto"/>
              <w:textAlignment w:val="auto"/>
              <w:rPr>
                <w:rFonts w:hint="eastAsia" w:ascii="Times New Roman" w:hAnsi="Times New Roman" w:eastAsia="华文楷体"/>
                <w:b/>
                <w:bCs w:val="0"/>
                <w:iCs/>
                <w:color w:val="000000"/>
                <w:sz w:val="24"/>
                <w:lang w:val="en-US" w:eastAsia="zh-CN"/>
              </w:rPr>
            </w:pPr>
            <w:bookmarkStart w:id="16" w:name="OLE_LINK14"/>
            <w:bookmarkStart w:id="17" w:name="OLE_LINK4"/>
            <w:r>
              <w:rPr>
                <w:rFonts w:hint="eastAsia" w:ascii="Times New Roman" w:hAnsi="Times New Roman" w:eastAsia="华文楷体"/>
                <w:b/>
                <w:bCs w:val="0"/>
                <w:iCs/>
                <w:color w:val="000000"/>
                <w:sz w:val="24"/>
                <w:lang w:val="en-US" w:eastAsia="zh-CN"/>
              </w:rPr>
              <w:t>问题7：</w:t>
            </w:r>
            <w:r>
              <w:rPr>
                <w:rFonts w:hint="eastAsia" w:ascii="Times New Roman" w:hAnsi="Times New Roman" w:eastAsia="华文楷体"/>
                <w:b/>
                <w:iCs/>
                <w:color w:val="000000"/>
                <w:sz w:val="24"/>
              </w:rPr>
              <w:t>公司如何看待海上风电行业发展节奏，2027-2028年行业是否会迎来爆发？公司有哪些专项布局？</w:t>
            </w:r>
            <w:bookmarkEnd w:id="16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157" w:afterLines="50" w:line="360" w:lineRule="auto"/>
              <w:textAlignment w:val="auto"/>
              <w:rPr>
                <w:rFonts w:hint="default" w:ascii="Times New Roman" w:hAnsi="Times New Roman" w:eastAsia="华文楷体"/>
                <w:b w:val="0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华文楷体"/>
                <w:b w:val="0"/>
                <w:bCs/>
                <w:iCs/>
                <w:color w:val="000000"/>
                <w:sz w:val="24"/>
                <w:lang w:val="en-US" w:eastAsia="zh-CN"/>
              </w:rPr>
              <w:t>答：</w:t>
            </w:r>
            <w:bookmarkEnd w:id="17"/>
            <w:r>
              <w:rPr>
                <w:rFonts w:hint="default" w:ascii="Times New Roman" w:hAnsi="Times New Roman" w:eastAsia="华文楷体"/>
                <w:bCs/>
                <w:iCs/>
                <w:color w:val="000000"/>
                <w:sz w:val="24"/>
              </w:rPr>
              <w:t>结合行业招</w:t>
            </w:r>
            <w:r>
              <w:rPr>
                <w:rFonts w:hint="eastAsia" w:ascii="Times New Roman" w:hAnsi="Times New Roman" w:eastAsia="华文楷体"/>
                <w:bCs/>
                <w:iCs/>
                <w:color w:val="000000"/>
                <w:sz w:val="24"/>
                <w:lang w:val="en-US" w:eastAsia="zh-CN"/>
              </w:rPr>
              <w:t>投</w:t>
            </w:r>
            <w:r>
              <w:rPr>
                <w:rFonts w:hint="default" w:ascii="Times New Roman" w:hAnsi="Times New Roman" w:eastAsia="华文楷体"/>
                <w:bCs/>
                <w:iCs/>
                <w:color w:val="000000"/>
                <w:sz w:val="24"/>
              </w:rPr>
              <w:t>标节奏、主机技术迭代、</w:t>
            </w:r>
            <w:r>
              <w:rPr>
                <w:rFonts w:hint="eastAsia" w:ascii="Times New Roman" w:hAnsi="Times New Roman" w:eastAsia="华文楷体"/>
                <w:bCs/>
                <w:iCs/>
                <w:color w:val="000000"/>
                <w:sz w:val="24"/>
                <w:lang w:val="en-US" w:eastAsia="zh-CN"/>
              </w:rPr>
              <w:t>行业研判</w:t>
            </w:r>
            <w:r>
              <w:rPr>
                <w:rFonts w:hint="default" w:ascii="Times New Roman" w:hAnsi="Times New Roman" w:eastAsia="华文楷体"/>
                <w:bCs/>
                <w:iCs/>
                <w:color w:val="000000"/>
                <w:sz w:val="24"/>
              </w:rPr>
              <w:t>及政策规划来看，海上风电行业预计在2027年下半年开始逐步起量，2028年</w:t>
            </w:r>
            <w:r>
              <w:rPr>
                <w:rFonts w:hint="eastAsia" w:ascii="Times New Roman" w:hAnsi="Times New Roman" w:eastAsia="华文楷体"/>
                <w:bCs/>
                <w:iCs/>
                <w:color w:val="000000"/>
                <w:sz w:val="24"/>
                <w:lang w:val="en-US" w:eastAsia="zh-CN"/>
              </w:rPr>
              <w:t>有望</w:t>
            </w:r>
            <w:r>
              <w:rPr>
                <w:rFonts w:hint="default" w:ascii="Times New Roman" w:hAnsi="Times New Roman" w:eastAsia="华文楷体"/>
                <w:bCs/>
                <w:iCs/>
                <w:color w:val="000000"/>
                <w:sz w:val="24"/>
              </w:rPr>
              <w:t>进入行业爆发增长期。核心驱动因素为主机厂12-13MW大型机组技术全面成熟、全国各区域海上风电项目集中招标落地</w:t>
            </w:r>
            <w:r>
              <w:rPr>
                <w:rFonts w:hint="eastAsia" w:ascii="Times New Roman" w:hAnsi="Times New Roman" w:eastAsia="华文楷体"/>
                <w:bCs/>
                <w:iCs/>
                <w:color w:val="000000"/>
                <w:sz w:val="24"/>
                <w:lang w:eastAsia="zh-CN"/>
              </w:rPr>
              <w:t>。</w:t>
            </w:r>
            <w:r>
              <w:rPr>
                <w:rFonts w:hint="default" w:ascii="Times New Roman" w:hAnsi="Times New Roman" w:eastAsia="华文楷体"/>
                <w:bCs/>
                <w:iCs/>
                <w:color w:val="000000"/>
                <w:sz w:val="24"/>
              </w:rPr>
              <w:t>在区域布局上，公司实行分区域、差异化机型布局策略。北方渤海湾、辽宁片区重点推广适配12-13MW主流机型；依托海南资源优势，聚焦南方市场，重点推进14-18MW大兆瓦机型交付落地；东部沿海市场同步发力，针对上海新建海上风电招标项目、江苏及</w:t>
            </w:r>
            <w:bookmarkStart w:id="21" w:name="_GoBack"/>
            <w:bookmarkEnd w:id="21"/>
            <w:r>
              <w:rPr>
                <w:rFonts w:hint="default" w:ascii="Times New Roman" w:hAnsi="Times New Roman" w:eastAsia="华文楷体"/>
                <w:bCs/>
                <w:iCs/>
                <w:color w:val="000000"/>
                <w:sz w:val="24"/>
              </w:rPr>
              <w:t>浙江片区规划项目，提前做好产品与资源储备。政策层面，国家</w:t>
            </w:r>
            <w:r>
              <w:rPr>
                <w:rFonts w:hint="eastAsia" w:ascii="Times New Roman" w:hAnsi="Times New Roman" w:eastAsia="华文楷体"/>
                <w:bCs/>
                <w:iCs/>
                <w:color w:val="000000"/>
                <w:sz w:val="24"/>
                <w:lang w:eastAsia="zh-CN"/>
              </w:rPr>
              <w:t>“</w:t>
            </w:r>
            <w:r>
              <w:rPr>
                <w:rFonts w:hint="default" w:ascii="Times New Roman" w:hAnsi="Times New Roman" w:eastAsia="华文楷体"/>
                <w:bCs/>
                <w:iCs/>
                <w:color w:val="000000"/>
                <w:sz w:val="24"/>
              </w:rPr>
              <w:t>十五五</w:t>
            </w:r>
            <w:r>
              <w:rPr>
                <w:rFonts w:hint="eastAsia" w:ascii="Times New Roman" w:hAnsi="Times New Roman" w:eastAsia="华文楷体"/>
                <w:bCs/>
                <w:iCs/>
                <w:color w:val="000000"/>
                <w:sz w:val="24"/>
                <w:lang w:eastAsia="zh-CN"/>
              </w:rPr>
              <w:t>”</w:t>
            </w:r>
            <w:r>
              <w:rPr>
                <w:rFonts w:hint="default" w:ascii="Times New Roman" w:hAnsi="Times New Roman" w:eastAsia="华文楷体"/>
                <w:bCs/>
                <w:iCs/>
                <w:color w:val="000000"/>
                <w:sz w:val="24"/>
              </w:rPr>
              <w:t>新能源发展规划持续利好绿电、海上风电产业发展，但目前行业仍存在用海权审批、协调难度大的核心痛点，也是制约项目快速落地的主要瓶颈。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157" w:afterLines="50" w:line="360" w:lineRule="auto"/>
              <w:textAlignment w:val="auto"/>
              <w:rPr>
                <w:rFonts w:hint="default" w:ascii="Times New Roman" w:hAnsi="Times New Roman" w:eastAsia="华文楷体"/>
                <w:b/>
                <w:bCs w:val="0"/>
                <w:iCs/>
                <w:color w:val="000000"/>
                <w:sz w:val="24"/>
                <w:lang w:val="en-US" w:eastAsia="zh-CN"/>
              </w:rPr>
            </w:pPr>
            <w:bookmarkStart w:id="18" w:name="OLE_LINK5"/>
            <w:bookmarkStart w:id="19" w:name="OLE_LINK21"/>
            <w:bookmarkStart w:id="20" w:name="OLE_LINK15"/>
            <w:r>
              <w:rPr>
                <w:rFonts w:hint="eastAsia" w:ascii="Times New Roman" w:hAnsi="Times New Roman" w:eastAsia="华文楷体"/>
                <w:b/>
                <w:bCs w:val="0"/>
                <w:iCs/>
                <w:color w:val="000000"/>
                <w:sz w:val="24"/>
                <w:lang w:val="en-US" w:eastAsia="zh-CN"/>
              </w:rPr>
              <w:t>问题8：</w:t>
            </w:r>
            <w:r>
              <w:rPr>
                <w:rFonts w:hint="eastAsia" w:ascii="Times New Roman" w:hAnsi="Times New Roman" w:eastAsia="华文楷体"/>
                <w:b/>
                <w:iCs/>
                <w:color w:val="000000"/>
                <w:sz w:val="24"/>
              </w:rPr>
              <w:t>请介绍公司短期及中长期的整体发展战略与经营目标？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157" w:afterLines="50" w:line="360" w:lineRule="auto"/>
              <w:textAlignment w:val="auto"/>
              <w:rPr>
                <w:rFonts w:hint="default" w:ascii="Times New Roman" w:hAnsi="Times New Roman" w:eastAsia="华文楷体"/>
                <w:b w:val="0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华文楷体"/>
                <w:b w:val="0"/>
                <w:bCs/>
                <w:iCs/>
                <w:color w:val="000000"/>
                <w:sz w:val="24"/>
                <w:lang w:val="en-US" w:eastAsia="zh-CN"/>
              </w:rPr>
              <w:t>答：</w:t>
            </w:r>
            <w:bookmarkEnd w:id="18"/>
            <w:r>
              <w:rPr>
                <w:rFonts w:hint="default" w:ascii="Times New Roman" w:hAnsi="Times New Roman" w:eastAsia="华文楷体"/>
                <w:bCs/>
                <w:iCs/>
                <w:color w:val="000000"/>
                <w:sz w:val="24"/>
              </w:rPr>
              <w:t>短期来看，至2030年公司将全力落地产能建设规划，力争实现</w:t>
            </w:r>
            <w:r>
              <w:rPr>
                <w:rFonts w:hint="eastAsia" w:ascii="Times New Roman" w:hAnsi="Times New Roman" w:eastAsia="华文楷体"/>
                <w:bCs/>
                <w:iCs/>
                <w:color w:val="000000"/>
                <w:sz w:val="24"/>
                <w:lang w:val="en-US" w:eastAsia="zh-CN"/>
              </w:rPr>
              <w:t>目标</w:t>
            </w:r>
            <w:r>
              <w:rPr>
                <w:rFonts w:hint="default" w:ascii="Times New Roman" w:hAnsi="Times New Roman" w:eastAsia="华文楷体"/>
                <w:bCs/>
                <w:iCs/>
                <w:color w:val="000000"/>
                <w:sz w:val="24"/>
              </w:rPr>
              <w:t>产能规模，稳固</w:t>
            </w:r>
            <w:r>
              <w:rPr>
                <w:rFonts w:hint="eastAsia" w:ascii="Times New Roman" w:hAnsi="Times New Roman" w:eastAsia="华文楷体"/>
                <w:bCs/>
                <w:iCs/>
                <w:color w:val="000000"/>
                <w:sz w:val="24"/>
                <w:lang w:val="en-US" w:eastAsia="zh-CN"/>
              </w:rPr>
              <w:t>并提升</w:t>
            </w:r>
            <w:r>
              <w:rPr>
                <w:rFonts w:hint="default" w:ascii="Times New Roman" w:hAnsi="Times New Roman" w:eastAsia="华文楷体"/>
                <w:bCs/>
                <w:iCs/>
                <w:color w:val="000000"/>
                <w:sz w:val="24"/>
              </w:rPr>
              <w:t>行业市场占有率，聚焦高质量、高毛利、高附加值的稳健增长。长期战略层面，一是深耕核心技术研发，持续攻关更大兆瓦级风电配套机型，持续迭代产品、提升核心竞争力；二是深化全球化布局，打通海外市场通道，实现国内外市场双向发力；三是坚持主业聚焦、审慎经营，理性研判非主业投资机会，优先落地完成现有产能建设、主业深耕，保障公司长期稳定发展。</w:t>
            </w:r>
            <w:bookmarkEnd w:id="19"/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jc w:val="both"/>
              <w:textAlignment w:val="auto"/>
              <w:rPr>
                <w:rFonts w:ascii="Times New Roman" w:hAnsi="Times New Roman" w:eastAsia="华文楷体"/>
                <w:bCs/>
                <w:iCs/>
                <w:color w:val="000000"/>
                <w:sz w:val="24"/>
              </w:rPr>
            </w:pPr>
            <w:r>
              <w:rPr>
                <w:rFonts w:ascii="Times New Roman" w:hAnsi="Times New Roman" w:eastAsia="华文楷体"/>
                <w:bCs/>
                <w:iCs/>
                <w:color w:val="000000"/>
                <w:sz w:val="24"/>
              </w:rPr>
              <w:t>关于本次活动是否涉及应当披露重大信息的说明</w:t>
            </w:r>
          </w:p>
        </w:tc>
        <w:tc>
          <w:tcPr>
            <w:tcW w:w="6614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textAlignment w:val="auto"/>
              <w:rPr>
                <w:rFonts w:ascii="Times New Roman" w:hAnsi="Times New Roman" w:eastAsia="华文楷体"/>
                <w:bCs/>
                <w:iCs/>
                <w:color w:val="000000"/>
                <w:sz w:val="24"/>
              </w:rPr>
            </w:pPr>
            <w:r>
              <w:rPr>
                <w:rFonts w:hint="eastAsia" w:ascii="Times New Roman" w:hAnsi="Times New Roman" w:eastAsia="华文楷体"/>
                <w:bCs/>
                <w:iCs/>
                <w:color w:val="000000"/>
                <w:sz w:val="24"/>
              </w:rPr>
              <w:t>本次活动不涉及未公开披露的重大信息。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jc w:val="both"/>
              <w:textAlignment w:val="auto"/>
              <w:rPr>
                <w:rFonts w:ascii="Times New Roman" w:hAnsi="Times New Roman" w:eastAsia="华文楷体"/>
                <w:bCs/>
                <w:iCs/>
                <w:color w:val="000000"/>
                <w:sz w:val="24"/>
              </w:rPr>
            </w:pPr>
            <w:r>
              <w:rPr>
                <w:rFonts w:ascii="Times New Roman" w:hAnsi="Times New Roman" w:eastAsia="华文楷体"/>
                <w:bCs/>
                <w:iCs/>
                <w:color w:val="000000"/>
                <w:sz w:val="24"/>
              </w:rPr>
              <w:t>附件清单（如有）</w:t>
            </w:r>
          </w:p>
        </w:tc>
        <w:tc>
          <w:tcPr>
            <w:tcW w:w="6614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textAlignment w:val="auto"/>
              <w:rPr>
                <w:rFonts w:hint="default" w:ascii="Times New Roman" w:hAnsi="Times New Roman" w:eastAsia="华文楷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华文楷体"/>
                <w:bCs/>
                <w:iCs/>
                <w:color w:val="000000"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jc w:val="both"/>
              <w:textAlignment w:val="auto"/>
              <w:rPr>
                <w:rFonts w:ascii="Times New Roman" w:hAnsi="Times New Roman" w:eastAsia="华文楷体"/>
                <w:bCs/>
                <w:iCs/>
                <w:color w:val="000000"/>
                <w:sz w:val="24"/>
              </w:rPr>
            </w:pPr>
            <w:r>
              <w:rPr>
                <w:rFonts w:ascii="Times New Roman" w:hAnsi="Times New Roman" w:eastAsia="华文楷体"/>
                <w:bCs/>
                <w:iCs/>
                <w:color w:val="000000"/>
                <w:sz w:val="24"/>
              </w:rPr>
              <w:t>日期</w:t>
            </w:r>
          </w:p>
        </w:tc>
        <w:tc>
          <w:tcPr>
            <w:tcW w:w="6614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textAlignment w:val="auto"/>
              <w:rPr>
                <w:rFonts w:ascii="Times New Roman" w:hAnsi="Times New Roman" w:eastAsia="华文楷体"/>
                <w:bCs/>
                <w:iCs/>
                <w:color w:val="000000"/>
                <w:sz w:val="24"/>
              </w:rPr>
            </w:pPr>
            <w:r>
              <w:rPr>
                <w:rFonts w:hint="eastAsia" w:ascii="Times New Roman" w:hAnsi="Times New Roman" w:eastAsia="华文楷体"/>
                <w:bCs/>
                <w:iCs/>
                <w:color w:val="000000"/>
                <w:sz w:val="24"/>
                <w:lang w:val="en-US" w:eastAsia="zh-CN"/>
              </w:rPr>
              <w:t>2026年4月27日</w:t>
            </w:r>
          </w:p>
        </w:tc>
      </w:tr>
    </w:tbl>
    <w:p>
      <w:pPr>
        <w:rPr>
          <w:rFonts w:ascii="Times New Roman" w:hAnsi="Times New Roman" w:eastAsia="华文楷体"/>
          <w:sz w:val="24"/>
        </w:rPr>
      </w:pPr>
    </w:p>
    <w:p>
      <w:pPr>
        <w:widowControl/>
        <w:jc w:val="left"/>
        <w:rPr>
          <w:rFonts w:ascii="Times New Roman" w:hAnsi="Times New Roman" w:eastAsia="华文楷体"/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930" w:right="1797" w:bottom="1440" w:left="1797" w:header="737" w:footer="68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7410"/>
        <w:tab w:val="clear" w:pos="4153"/>
        <w:tab w:val="clear" w:pos="8306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A36F8B"/>
    <w:multiLevelType w:val="singleLevel"/>
    <w:tmpl w:val="7DA36F8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7353237"/>
    <w:rsid w:val="000144C4"/>
    <w:rsid w:val="0004494E"/>
    <w:rsid w:val="00071AB5"/>
    <w:rsid w:val="00077C35"/>
    <w:rsid w:val="000A4ED2"/>
    <w:rsid w:val="000B059B"/>
    <w:rsid w:val="000B6759"/>
    <w:rsid w:val="000C161D"/>
    <w:rsid w:val="0013459F"/>
    <w:rsid w:val="0017433B"/>
    <w:rsid w:val="001C4E9C"/>
    <w:rsid w:val="001E5B0E"/>
    <w:rsid w:val="002079F0"/>
    <w:rsid w:val="002241CA"/>
    <w:rsid w:val="0023431C"/>
    <w:rsid w:val="002739BD"/>
    <w:rsid w:val="002A58B1"/>
    <w:rsid w:val="002B3EB3"/>
    <w:rsid w:val="002B54AE"/>
    <w:rsid w:val="002D6DB2"/>
    <w:rsid w:val="002E2240"/>
    <w:rsid w:val="00300958"/>
    <w:rsid w:val="00302C7A"/>
    <w:rsid w:val="00312615"/>
    <w:rsid w:val="00325630"/>
    <w:rsid w:val="00331BD4"/>
    <w:rsid w:val="00334E22"/>
    <w:rsid w:val="00351F58"/>
    <w:rsid w:val="00360160"/>
    <w:rsid w:val="00361D2D"/>
    <w:rsid w:val="0038081E"/>
    <w:rsid w:val="00381E5F"/>
    <w:rsid w:val="00387DAE"/>
    <w:rsid w:val="003B3476"/>
    <w:rsid w:val="003E09D6"/>
    <w:rsid w:val="003F43E9"/>
    <w:rsid w:val="0040196F"/>
    <w:rsid w:val="00405E58"/>
    <w:rsid w:val="004134CD"/>
    <w:rsid w:val="004153F4"/>
    <w:rsid w:val="00425118"/>
    <w:rsid w:val="0043372C"/>
    <w:rsid w:val="00433836"/>
    <w:rsid w:val="00462055"/>
    <w:rsid w:val="004710A1"/>
    <w:rsid w:val="004913BC"/>
    <w:rsid w:val="00492BBF"/>
    <w:rsid w:val="00494A95"/>
    <w:rsid w:val="004B0B73"/>
    <w:rsid w:val="004B77A0"/>
    <w:rsid w:val="004C0357"/>
    <w:rsid w:val="004D6307"/>
    <w:rsid w:val="004D7FAC"/>
    <w:rsid w:val="004E7DAE"/>
    <w:rsid w:val="00500654"/>
    <w:rsid w:val="0050343A"/>
    <w:rsid w:val="00515810"/>
    <w:rsid w:val="0052341E"/>
    <w:rsid w:val="00523922"/>
    <w:rsid w:val="005263AA"/>
    <w:rsid w:val="0054044A"/>
    <w:rsid w:val="005B4322"/>
    <w:rsid w:val="005F1A92"/>
    <w:rsid w:val="005F32CA"/>
    <w:rsid w:val="006059BD"/>
    <w:rsid w:val="00612813"/>
    <w:rsid w:val="00623311"/>
    <w:rsid w:val="00644768"/>
    <w:rsid w:val="00685507"/>
    <w:rsid w:val="006879CB"/>
    <w:rsid w:val="006B5C83"/>
    <w:rsid w:val="006C36EA"/>
    <w:rsid w:val="006D403E"/>
    <w:rsid w:val="00710E31"/>
    <w:rsid w:val="00712276"/>
    <w:rsid w:val="0071616D"/>
    <w:rsid w:val="00725F7E"/>
    <w:rsid w:val="0074039A"/>
    <w:rsid w:val="00781BAC"/>
    <w:rsid w:val="007C0148"/>
    <w:rsid w:val="007C74FA"/>
    <w:rsid w:val="007D5EBF"/>
    <w:rsid w:val="007E3476"/>
    <w:rsid w:val="007F3235"/>
    <w:rsid w:val="0080146E"/>
    <w:rsid w:val="00803D91"/>
    <w:rsid w:val="0081618F"/>
    <w:rsid w:val="00822BD6"/>
    <w:rsid w:val="0082672A"/>
    <w:rsid w:val="008328C2"/>
    <w:rsid w:val="0084662D"/>
    <w:rsid w:val="00854004"/>
    <w:rsid w:val="0086040F"/>
    <w:rsid w:val="00880FC4"/>
    <w:rsid w:val="008B47B8"/>
    <w:rsid w:val="008C1D0E"/>
    <w:rsid w:val="008D13EA"/>
    <w:rsid w:val="008D66DD"/>
    <w:rsid w:val="008E2265"/>
    <w:rsid w:val="00905937"/>
    <w:rsid w:val="009478D9"/>
    <w:rsid w:val="009900EE"/>
    <w:rsid w:val="00990AE4"/>
    <w:rsid w:val="00997BB5"/>
    <w:rsid w:val="009A0BFF"/>
    <w:rsid w:val="009B4B8D"/>
    <w:rsid w:val="009D4444"/>
    <w:rsid w:val="00A025F1"/>
    <w:rsid w:val="00A04EF8"/>
    <w:rsid w:val="00A17E32"/>
    <w:rsid w:val="00A35071"/>
    <w:rsid w:val="00A36119"/>
    <w:rsid w:val="00A44A6C"/>
    <w:rsid w:val="00A71887"/>
    <w:rsid w:val="00A83CC2"/>
    <w:rsid w:val="00A8567B"/>
    <w:rsid w:val="00A860A0"/>
    <w:rsid w:val="00AC63E6"/>
    <w:rsid w:val="00AF7782"/>
    <w:rsid w:val="00B01B7E"/>
    <w:rsid w:val="00B102BD"/>
    <w:rsid w:val="00B650AC"/>
    <w:rsid w:val="00BB3EE8"/>
    <w:rsid w:val="00BB5B5A"/>
    <w:rsid w:val="00BC1881"/>
    <w:rsid w:val="00BE4C86"/>
    <w:rsid w:val="00BE6811"/>
    <w:rsid w:val="00C0730D"/>
    <w:rsid w:val="00C21305"/>
    <w:rsid w:val="00C33351"/>
    <w:rsid w:val="00C33667"/>
    <w:rsid w:val="00C50F3E"/>
    <w:rsid w:val="00C63EDF"/>
    <w:rsid w:val="00C7268F"/>
    <w:rsid w:val="00C931DF"/>
    <w:rsid w:val="00CA4D3E"/>
    <w:rsid w:val="00CB32F5"/>
    <w:rsid w:val="00CF70BF"/>
    <w:rsid w:val="00D064B1"/>
    <w:rsid w:val="00D44B54"/>
    <w:rsid w:val="00D743F3"/>
    <w:rsid w:val="00D82513"/>
    <w:rsid w:val="00DC13E8"/>
    <w:rsid w:val="00DE4790"/>
    <w:rsid w:val="00DF4636"/>
    <w:rsid w:val="00DF4BB6"/>
    <w:rsid w:val="00E470C2"/>
    <w:rsid w:val="00E90303"/>
    <w:rsid w:val="00E9327D"/>
    <w:rsid w:val="00EE241D"/>
    <w:rsid w:val="00EE6DA8"/>
    <w:rsid w:val="00F14245"/>
    <w:rsid w:val="00F435F9"/>
    <w:rsid w:val="00F46CA0"/>
    <w:rsid w:val="00F54506"/>
    <w:rsid w:val="00F56194"/>
    <w:rsid w:val="00F83F9C"/>
    <w:rsid w:val="00F95168"/>
    <w:rsid w:val="00FA0D44"/>
    <w:rsid w:val="00FC574D"/>
    <w:rsid w:val="00FC7ACF"/>
    <w:rsid w:val="00FD4854"/>
    <w:rsid w:val="08C808C1"/>
    <w:rsid w:val="092F7EC0"/>
    <w:rsid w:val="0B55365C"/>
    <w:rsid w:val="116E602C"/>
    <w:rsid w:val="117F2C6F"/>
    <w:rsid w:val="15883A60"/>
    <w:rsid w:val="161C14DA"/>
    <w:rsid w:val="17353237"/>
    <w:rsid w:val="18D63375"/>
    <w:rsid w:val="1ECB56F7"/>
    <w:rsid w:val="20720540"/>
    <w:rsid w:val="2B111DED"/>
    <w:rsid w:val="2D782FCB"/>
    <w:rsid w:val="2E353DFF"/>
    <w:rsid w:val="2F4335DC"/>
    <w:rsid w:val="36F71AE2"/>
    <w:rsid w:val="374953E8"/>
    <w:rsid w:val="39A2026C"/>
    <w:rsid w:val="39C44B4D"/>
    <w:rsid w:val="3AF93AA5"/>
    <w:rsid w:val="3B444BAB"/>
    <w:rsid w:val="3E0F2786"/>
    <w:rsid w:val="42637830"/>
    <w:rsid w:val="42C8165A"/>
    <w:rsid w:val="42FD36E9"/>
    <w:rsid w:val="442370E9"/>
    <w:rsid w:val="462514F4"/>
    <w:rsid w:val="483B1CF7"/>
    <w:rsid w:val="4DDF6EF1"/>
    <w:rsid w:val="4FFFCAFE"/>
    <w:rsid w:val="561F4BDA"/>
    <w:rsid w:val="566F654E"/>
    <w:rsid w:val="5A33385C"/>
    <w:rsid w:val="5CAF40AC"/>
    <w:rsid w:val="5CB13D29"/>
    <w:rsid w:val="5D1B08E5"/>
    <w:rsid w:val="5F933795"/>
    <w:rsid w:val="6105122B"/>
    <w:rsid w:val="6780210D"/>
    <w:rsid w:val="67A47C25"/>
    <w:rsid w:val="6B887715"/>
    <w:rsid w:val="6C744235"/>
    <w:rsid w:val="6D416D73"/>
    <w:rsid w:val="6FA63DA2"/>
    <w:rsid w:val="70380F99"/>
    <w:rsid w:val="71365500"/>
    <w:rsid w:val="71FA7B65"/>
    <w:rsid w:val="72CE65AE"/>
    <w:rsid w:val="79DBA059"/>
    <w:rsid w:val="7A444920"/>
    <w:rsid w:val="7BD5BBAD"/>
    <w:rsid w:val="7FA178CD"/>
    <w:rsid w:val="7FE67E71"/>
    <w:rsid w:val="7FFF9C4C"/>
    <w:rsid w:val="A67CD593"/>
    <w:rsid w:val="AFBB2423"/>
    <w:rsid w:val="B76F28A5"/>
    <w:rsid w:val="B9FDE687"/>
    <w:rsid w:val="BDFF8A21"/>
    <w:rsid w:val="D4FFF143"/>
    <w:rsid w:val="D7BF1A25"/>
    <w:rsid w:val="F1EEB0D9"/>
    <w:rsid w:val="FF7E23B7"/>
    <w:rsid w:val="FFD9AE20"/>
    <w:rsid w:val="FFDD8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2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6"/>
    <w:unhideWhenUsed/>
    <w:qFormat/>
    <w:uiPriority w:val="99"/>
    <w:pPr>
      <w:jc w:val="left"/>
    </w:pPr>
    <w:rPr>
      <w:szCs w:val="22"/>
    </w:rPr>
  </w:style>
  <w:style w:type="paragraph" w:styleId="4">
    <w:name w:val="Date"/>
    <w:basedOn w:val="1"/>
    <w:next w:val="1"/>
    <w:link w:val="15"/>
    <w:qFormat/>
    <w:uiPriority w:val="0"/>
    <w:pPr>
      <w:ind w:left="100" w:leftChars="2500"/>
    </w:pPr>
  </w:style>
  <w:style w:type="paragraph" w:styleId="5">
    <w:name w:val="Balloon Text"/>
    <w:basedOn w:val="1"/>
    <w:link w:val="17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9">
    <w:name w:val="annotation subject"/>
    <w:basedOn w:val="3"/>
    <w:next w:val="3"/>
    <w:link w:val="19"/>
    <w:semiHidden/>
    <w:unhideWhenUsed/>
    <w:qFormat/>
    <w:uiPriority w:val="0"/>
    <w:rPr>
      <w:b/>
      <w:bCs/>
      <w:szCs w:val="24"/>
    </w:rPr>
  </w:style>
  <w:style w:type="table" w:styleId="11">
    <w:name w:val="Table Grid"/>
    <w:basedOn w:val="10"/>
    <w:unhideWhenUsed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unhideWhenUsed/>
    <w:qFormat/>
    <w:uiPriority w:val="99"/>
    <w:rPr>
      <w:color w:val="0000FF"/>
      <w:u w:val="single"/>
    </w:rPr>
  </w:style>
  <w:style w:type="character" w:styleId="14">
    <w:name w:val="annotation reference"/>
    <w:basedOn w:val="12"/>
    <w:unhideWhenUsed/>
    <w:qFormat/>
    <w:uiPriority w:val="99"/>
    <w:rPr>
      <w:sz w:val="21"/>
      <w:szCs w:val="21"/>
    </w:rPr>
  </w:style>
  <w:style w:type="character" w:customStyle="1" w:styleId="15">
    <w:name w:val="日期 Char"/>
    <w:basedOn w:val="12"/>
    <w:link w:val="4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16">
    <w:name w:val="批注文字 Char"/>
    <w:basedOn w:val="12"/>
    <w:link w:val="3"/>
    <w:qFormat/>
    <w:uiPriority w:val="99"/>
    <w:rPr>
      <w:rFonts w:ascii="Calibri" w:hAnsi="Calibri"/>
      <w:kern w:val="2"/>
      <w:sz w:val="21"/>
      <w:szCs w:val="22"/>
    </w:rPr>
  </w:style>
  <w:style w:type="character" w:customStyle="1" w:styleId="17">
    <w:name w:val="批注框文本 Char"/>
    <w:basedOn w:val="12"/>
    <w:link w:val="5"/>
    <w:qFormat/>
    <w:uiPriority w:val="0"/>
    <w:rPr>
      <w:rFonts w:ascii="Calibri" w:hAnsi="Calibri"/>
      <w:kern w:val="2"/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9">
    <w:name w:val="批注主题 Char"/>
    <w:basedOn w:val="16"/>
    <w:link w:val="9"/>
    <w:semiHidden/>
    <w:qFormat/>
    <w:uiPriority w:val="0"/>
    <w:rPr>
      <w:rFonts w:ascii="Calibri" w:hAnsi="Calibri"/>
      <w:b/>
      <w:bCs/>
      <w:kern w:val="2"/>
      <w:sz w:val="21"/>
      <w:szCs w:val="24"/>
    </w:rPr>
  </w:style>
  <w:style w:type="paragraph" w:customStyle="1" w:styleId="20">
    <w:name w:val="Revision"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21">
    <w:name w:val="标题 2 Char"/>
    <w:basedOn w:val="12"/>
    <w:link w:val="2"/>
    <w:qFormat/>
    <w:uiPriority w:val="9"/>
    <w:rPr>
      <w:rFonts w:ascii="宋体" w:hAnsi="宋体" w:cs="宋体"/>
      <w:b/>
      <w:bCs/>
      <w:sz w:val="36"/>
      <w:szCs w:val="36"/>
    </w:rPr>
  </w:style>
  <w:style w:type="character" w:customStyle="1" w:styleId="22">
    <w:name w:val="bgchighlight-anchor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48</Words>
  <Characters>278</Characters>
  <Lines>2</Lines>
  <Paragraphs>1</Paragraphs>
  <TotalTime>18</TotalTime>
  <ScaleCrop>false</ScaleCrop>
  <LinksUpToDate>false</LinksUpToDate>
  <CharactersWithSpaces>325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2025-12-03T15:08:00Z</dcterms:created>
  <dc:creator>夜火</dc:creator>
  <cp:lastModifiedBy>zlz</cp:lastModifiedBy>
  <cp:lastPrinted>2021-06-20T15:26:00Z</cp:lastPrinted>
  <dcterms:modified xsi:type="dcterms:W3CDTF">2026-04-27T10:28:03Z</dcterms:modified>
  <cp:revision>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294634EDF14645C99FF75C50DF78EFBB</vt:lpwstr>
  </property>
</Properties>
</file>